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189"/>
      </w:tblGrid>
      <w:tr w:rsidR="009F027A" w:rsidRPr="003A5D54" w:rsidTr="001E3299">
        <w:tc>
          <w:tcPr>
            <w:tcW w:w="7991" w:type="dxa"/>
            <w:gridSpan w:val="2"/>
          </w:tcPr>
          <w:p w:rsidR="009F027A" w:rsidRPr="003A5D54" w:rsidRDefault="009F027A" w:rsidP="001E3299">
            <w:pPr>
              <w:rPr>
                <w:rFonts w:ascii="Arial Narrow" w:hAnsi="Arial Narrow"/>
              </w:rPr>
            </w:pPr>
          </w:p>
          <w:p w:rsidR="009F027A" w:rsidRPr="003A5D54" w:rsidRDefault="009F027A" w:rsidP="001E3299">
            <w:pPr>
              <w:rPr>
                <w:rFonts w:ascii="Arial Narrow" w:hAnsi="Arial Narrow"/>
              </w:rPr>
            </w:pPr>
          </w:p>
          <w:p w:rsidR="009F027A" w:rsidRPr="00432FDF" w:rsidRDefault="009F027A" w:rsidP="001E3299">
            <w:pPr>
              <w:tabs>
                <w:tab w:val="center" w:pos="4512"/>
              </w:tabs>
              <w:jc w:val="center"/>
              <w:rPr>
                <w:rFonts w:ascii="Arial Narrow" w:hAnsi="Arial Narrow" w:cs="Arial"/>
                <w:b/>
                <w:bCs/>
                <w:sz w:val="40"/>
                <w:szCs w:val="40"/>
                <w:u w:val="single"/>
                <w:lang w:val="en-GB"/>
              </w:rPr>
            </w:pPr>
            <w:r w:rsidRPr="00432FDF">
              <w:rPr>
                <w:rFonts w:ascii="Arial Narrow" w:hAnsi="Arial Narrow" w:cs="Arial"/>
                <w:b/>
                <w:sz w:val="40"/>
                <w:szCs w:val="40"/>
                <w:u w:val="single"/>
                <w:lang w:val="en-GB"/>
              </w:rPr>
              <w:t>MSUNDUZI</w:t>
            </w:r>
            <w:r w:rsidRPr="00432FDF">
              <w:rPr>
                <w:rFonts w:ascii="Arial Narrow" w:hAnsi="Arial Narrow" w:cs="Arial"/>
                <w:b/>
                <w:bCs/>
                <w:sz w:val="40"/>
                <w:szCs w:val="40"/>
                <w:u w:val="single"/>
                <w:lang w:val="en-GB"/>
              </w:rPr>
              <w:t xml:space="preserve"> MUNICIPALITY</w:t>
            </w:r>
          </w:p>
          <w:p w:rsidR="009F027A" w:rsidRPr="003A5D54" w:rsidRDefault="009F027A" w:rsidP="001E3299">
            <w:pPr>
              <w:jc w:val="center"/>
              <w:rPr>
                <w:rFonts w:ascii="Arial Narrow" w:hAnsi="Arial Narrow" w:cs="Arial"/>
                <w:b/>
                <w:bCs/>
                <w:u w:val="single"/>
                <w:lang w:val="en-GB"/>
              </w:rPr>
            </w:pPr>
          </w:p>
          <w:p w:rsidR="009F027A" w:rsidRPr="003A5D54" w:rsidRDefault="009F027A" w:rsidP="001E3299">
            <w:pPr>
              <w:rPr>
                <w:rFonts w:ascii="Arial Narrow" w:hAnsi="Arial Narrow"/>
              </w:rPr>
            </w:pPr>
          </w:p>
          <w:p w:rsidR="009F027A" w:rsidRPr="003A5D54" w:rsidRDefault="009F027A" w:rsidP="001E3299">
            <w:pPr>
              <w:rPr>
                <w:rFonts w:ascii="Arial Narrow" w:hAnsi="Arial Narrow"/>
              </w:rPr>
            </w:pPr>
          </w:p>
          <w:p w:rsidR="009F027A" w:rsidRPr="003A5D54" w:rsidRDefault="009F027A" w:rsidP="001E3299">
            <w:pPr>
              <w:jc w:val="center"/>
              <w:rPr>
                <w:rFonts w:ascii="Arial Narrow" w:hAnsi="Arial Narrow"/>
              </w:rPr>
            </w:pPr>
            <w:r w:rsidRPr="003A5D54">
              <w:rPr>
                <w:rFonts w:ascii="Arial Narrow" w:hAnsi="Arial Narrow"/>
                <w:noProof/>
                <w:lang w:eastAsia="en-ZA"/>
              </w:rPr>
              <w:drawing>
                <wp:inline distT="0" distB="0" distL="0" distR="0">
                  <wp:extent cx="99060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1504950"/>
                          </a:xfrm>
                          <a:prstGeom prst="rect">
                            <a:avLst/>
                          </a:prstGeom>
                          <a:noFill/>
                          <a:ln>
                            <a:noFill/>
                          </a:ln>
                        </pic:spPr>
                      </pic:pic>
                    </a:graphicData>
                  </a:graphic>
                </wp:inline>
              </w:drawing>
            </w:r>
          </w:p>
          <w:p w:rsidR="009F027A" w:rsidRPr="003A5D54" w:rsidRDefault="009F027A" w:rsidP="001E3299">
            <w:pPr>
              <w:rPr>
                <w:rFonts w:ascii="Arial Narrow" w:hAnsi="Arial Narrow"/>
              </w:rPr>
            </w:pP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Policy Name:</w:t>
            </w:r>
          </w:p>
        </w:tc>
        <w:tc>
          <w:tcPr>
            <w:tcW w:w="5189" w:type="dxa"/>
            <w:vAlign w:val="center"/>
          </w:tcPr>
          <w:p w:rsidR="009F027A" w:rsidRPr="003A5D54" w:rsidRDefault="009F027A" w:rsidP="001E3299">
            <w:pPr>
              <w:rPr>
                <w:rFonts w:ascii="Arial Narrow" w:hAnsi="Arial Narrow" w:cs="Arial"/>
                <w:b/>
              </w:rPr>
            </w:pPr>
            <w:r>
              <w:rPr>
                <w:rFonts w:ascii="Arial Narrow" w:hAnsi="Arial Narrow" w:cs="Arial"/>
                <w:b/>
              </w:rPr>
              <w:t>Commitments Policy</w:t>
            </w: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Policy Number:</w:t>
            </w:r>
          </w:p>
        </w:tc>
        <w:tc>
          <w:tcPr>
            <w:tcW w:w="5189" w:type="dxa"/>
            <w:vAlign w:val="center"/>
          </w:tcPr>
          <w:p w:rsidR="009F027A" w:rsidRPr="003A5D54" w:rsidRDefault="009F027A" w:rsidP="001E3299">
            <w:pPr>
              <w:rPr>
                <w:rFonts w:ascii="Arial Narrow" w:hAnsi="Arial Narrow"/>
              </w:rPr>
            </w:pP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Status:</w:t>
            </w:r>
          </w:p>
        </w:tc>
        <w:tc>
          <w:tcPr>
            <w:tcW w:w="5189" w:type="dxa"/>
            <w:vAlign w:val="center"/>
          </w:tcPr>
          <w:p w:rsidR="009F027A" w:rsidRPr="003A5D54" w:rsidRDefault="009F027A" w:rsidP="001E3299">
            <w:pPr>
              <w:rPr>
                <w:rFonts w:ascii="Arial Narrow" w:hAnsi="Arial Narrow"/>
                <w:b/>
              </w:rPr>
            </w:pPr>
            <w:r w:rsidRPr="003A5D54">
              <w:rPr>
                <w:rFonts w:ascii="Arial Narrow" w:hAnsi="Arial Narrow"/>
                <w:b/>
              </w:rPr>
              <w:t>Draft</w:t>
            </w: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Date:</w:t>
            </w:r>
          </w:p>
        </w:tc>
        <w:tc>
          <w:tcPr>
            <w:tcW w:w="5189" w:type="dxa"/>
            <w:vAlign w:val="center"/>
          </w:tcPr>
          <w:p w:rsidR="009F027A" w:rsidRPr="003A5D54" w:rsidRDefault="00B93486" w:rsidP="001E3299">
            <w:pPr>
              <w:rPr>
                <w:rFonts w:ascii="Arial Narrow" w:hAnsi="Arial Narrow"/>
              </w:rPr>
            </w:pPr>
            <w:bookmarkStart w:id="0" w:name="_GoBack"/>
            <w:r>
              <w:rPr>
                <w:rFonts w:ascii="Arial Narrow" w:hAnsi="Arial Narrow"/>
              </w:rPr>
              <w:t>February</w:t>
            </w:r>
            <w:bookmarkEnd w:id="0"/>
            <w:r w:rsidR="009F027A">
              <w:rPr>
                <w:rFonts w:ascii="Arial Narrow" w:hAnsi="Arial Narrow"/>
              </w:rPr>
              <w:t xml:space="preserve"> 201</w:t>
            </w:r>
            <w:r>
              <w:rPr>
                <w:rFonts w:ascii="Arial Narrow" w:hAnsi="Arial Narrow"/>
              </w:rPr>
              <w:t>9</w:t>
            </w: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Approved By:</w:t>
            </w:r>
          </w:p>
        </w:tc>
        <w:tc>
          <w:tcPr>
            <w:tcW w:w="5189" w:type="dxa"/>
            <w:vAlign w:val="center"/>
          </w:tcPr>
          <w:p w:rsidR="009F027A" w:rsidRPr="003A5D54" w:rsidRDefault="009F027A" w:rsidP="001E3299">
            <w:pPr>
              <w:rPr>
                <w:rFonts w:ascii="Arial Narrow" w:hAnsi="Arial Narrow"/>
              </w:rPr>
            </w:pP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Date Approved:</w:t>
            </w:r>
          </w:p>
        </w:tc>
        <w:tc>
          <w:tcPr>
            <w:tcW w:w="5189" w:type="dxa"/>
            <w:vAlign w:val="center"/>
          </w:tcPr>
          <w:p w:rsidR="009F027A" w:rsidRPr="003A5D54" w:rsidRDefault="009F027A" w:rsidP="001E3299">
            <w:pPr>
              <w:rPr>
                <w:rFonts w:ascii="Arial Narrow" w:hAnsi="Arial Narrow"/>
              </w:rPr>
            </w:pP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Date Last Amended:</w:t>
            </w:r>
          </w:p>
        </w:tc>
        <w:tc>
          <w:tcPr>
            <w:tcW w:w="5189" w:type="dxa"/>
            <w:vAlign w:val="center"/>
          </w:tcPr>
          <w:p w:rsidR="009F027A" w:rsidRPr="003A5D54" w:rsidRDefault="009F027A" w:rsidP="001E3299">
            <w:pPr>
              <w:rPr>
                <w:rFonts w:ascii="Arial Narrow" w:hAnsi="Arial Narrow"/>
              </w:rPr>
            </w:pP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Date for Next Review:</w:t>
            </w:r>
          </w:p>
        </w:tc>
        <w:tc>
          <w:tcPr>
            <w:tcW w:w="5189" w:type="dxa"/>
            <w:vAlign w:val="center"/>
          </w:tcPr>
          <w:p w:rsidR="009F027A" w:rsidRPr="003A5D54" w:rsidRDefault="009F027A" w:rsidP="001E3299">
            <w:pPr>
              <w:rPr>
                <w:rFonts w:ascii="Arial Narrow" w:hAnsi="Arial Narrow"/>
              </w:rPr>
            </w:pPr>
            <w:r>
              <w:rPr>
                <w:rFonts w:ascii="Arial Narrow" w:hAnsi="Arial Narrow"/>
              </w:rPr>
              <w:t>20</w:t>
            </w:r>
            <w:r w:rsidR="00B93486">
              <w:rPr>
                <w:rFonts w:ascii="Arial Narrow" w:hAnsi="Arial Narrow"/>
              </w:rPr>
              <w:t>20</w:t>
            </w:r>
          </w:p>
        </w:tc>
      </w:tr>
      <w:tr w:rsidR="009F027A" w:rsidRPr="003A5D54" w:rsidTr="001E3299">
        <w:trPr>
          <w:trHeight w:hRule="exact" w:val="510"/>
        </w:trPr>
        <w:tc>
          <w:tcPr>
            <w:tcW w:w="2802" w:type="dxa"/>
            <w:vAlign w:val="center"/>
          </w:tcPr>
          <w:p w:rsidR="009F027A" w:rsidRPr="003A5D54" w:rsidRDefault="009F027A" w:rsidP="001E3299">
            <w:pPr>
              <w:rPr>
                <w:rFonts w:ascii="Arial Narrow" w:hAnsi="Arial Narrow" w:cs="Arial"/>
                <w:b/>
              </w:rPr>
            </w:pPr>
            <w:r w:rsidRPr="003A5D54">
              <w:rPr>
                <w:rFonts w:ascii="Arial Narrow" w:hAnsi="Arial Narrow" w:cs="Arial"/>
                <w:b/>
              </w:rPr>
              <w:t>Date Published on Intranet:</w:t>
            </w:r>
          </w:p>
        </w:tc>
        <w:tc>
          <w:tcPr>
            <w:tcW w:w="5189" w:type="dxa"/>
            <w:vAlign w:val="center"/>
          </w:tcPr>
          <w:p w:rsidR="009F027A" w:rsidRPr="003A5D54" w:rsidRDefault="009F027A" w:rsidP="001E3299">
            <w:pPr>
              <w:rPr>
                <w:rFonts w:ascii="Arial Narrow" w:hAnsi="Arial Narrow"/>
              </w:rPr>
            </w:pPr>
          </w:p>
        </w:tc>
      </w:tr>
    </w:tbl>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9F027A" w:rsidRDefault="009F027A" w:rsidP="00AC32B9">
      <w:pPr>
        <w:jc w:val="center"/>
        <w:rPr>
          <w:b/>
        </w:rPr>
      </w:pPr>
    </w:p>
    <w:p w:rsidR="00AC32B9" w:rsidRDefault="00AC32B9" w:rsidP="00AC32B9">
      <w:pPr>
        <w:jc w:val="center"/>
        <w:rPr>
          <w:b/>
        </w:rPr>
      </w:pPr>
      <w:r>
        <w:rPr>
          <w:b/>
        </w:rPr>
        <w:t>COMMITMENTS POLICY –</w:t>
      </w:r>
      <w:r w:rsidRPr="00AC32B9">
        <w:rPr>
          <w:b/>
          <w:u w:val="single"/>
        </w:rPr>
        <w:t xml:space="preserve"> DRAFT</w:t>
      </w:r>
    </w:p>
    <w:p w:rsidR="00B103DA" w:rsidRDefault="006A7011">
      <w:pPr>
        <w:rPr>
          <w:b/>
        </w:rPr>
      </w:pPr>
      <w:r>
        <w:rPr>
          <w:b/>
        </w:rPr>
        <w:t>Abbreviations</w:t>
      </w:r>
      <w:r w:rsidR="001B52EB">
        <w:rPr>
          <w:b/>
        </w:rPr>
        <w:t>:</w:t>
      </w:r>
    </w:p>
    <w:p w:rsidR="006A7011" w:rsidRDefault="006A7011">
      <w:r>
        <w:t>MFMA</w:t>
      </w:r>
      <w:r>
        <w:tab/>
        <w:t>-</w:t>
      </w:r>
      <w:r>
        <w:tab/>
        <w:t>Municipal Finance Management Act</w:t>
      </w:r>
      <w:r w:rsidR="00DF3ACF">
        <w:t>, 2003 (Act 56 of 2003)</w:t>
      </w:r>
    </w:p>
    <w:p w:rsidR="006A7011" w:rsidRDefault="006A7011">
      <w:r>
        <w:t>GRAP</w:t>
      </w:r>
      <w:r>
        <w:tab/>
        <w:t xml:space="preserve">- </w:t>
      </w:r>
      <w:r>
        <w:tab/>
        <w:t>Generally Recognised Accounting Practice</w:t>
      </w:r>
    </w:p>
    <w:p w:rsidR="006A7011" w:rsidRDefault="006A7011">
      <w:r>
        <w:t>AFS</w:t>
      </w:r>
      <w:r>
        <w:tab/>
        <w:t>-</w:t>
      </w:r>
      <w:r>
        <w:tab/>
        <w:t xml:space="preserve">Annual Financial Statements </w:t>
      </w:r>
    </w:p>
    <w:p w:rsidR="00D55D4C" w:rsidRDefault="00D55D4C">
      <w:r>
        <w:t>AO</w:t>
      </w:r>
      <w:r>
        <w:tab/>
        <w:t>-</w:t>
      </w:r>
      <w:r>
        <w:tab/>
        <w:t xml:space="preserve">Accounting Officer </w:t>
      </w:r>
    </w:p>
    <w:p w:rsidR="001B52EB" w:rsidRPr="006A7011" w:rsidRDefault="001B52EB"/>
    <w:p w:rsidR="006A7011" w:rsidRPr="001B52EB" w:rsidRDefault="001B52EB">
      <w:pPr>
        <w:rPr>
          <w:b/>
        </w:rPr>
      </w:pPr>
      <w:r>
        <w:rPr>
          <w:b/>
        </w:rPr>
        <w:t>Table of Contents:</w:t>
      </w:r>
    </w:p>
    <w:p w:rsidR="006A7011" w:rsidRDefault="001B52EB" w:rsidP="001B52EB">
      <w:pPr>
        <w:pStyle w:val="ListParagraph"/>
        <w:numPr>
          <w:ilvl w:val="0"/>
          <w:numId w:val="1"/>
        </w:numPr>
      </w:pPr>
      <w:r>
        <w:t>Legislative Requirements</w:t>
      </w:r>
      <w:r>
        <w:tab/>
      </w:r>
      <w:r>
        <w:tab/>
      </w:r>
      <w:r>
        <w:tab/>
      </w:r>
      <w:r>
        <w:tab/>
      </w:r>
      <w:r>
        <w:tab/>
        <w:t>x</w:t>
      </w:r>
    </w:p>
    <w:p w:rsidR="001B52EB" w:rsidRDefault="001B52EB" w:rsidP="001B52EB">
      <w:pPr>
        <w:pStyle w:val="ListParagraph"/>
      </w:pPr>
    </w:p>
    <w:p w:rsidR="001B52EB" w:rsidRDefault="001B52EB" w:rsidP="001B52EB">
      <w:pPr>
        <w:pStyle w:val="ListParagraph"/>
        <w:numPr>
          <w:ilvl w:val="0"/>
          <w:numId w:val="1"/>
        </w:numPr>
      </w:pPr>
      <w:r>
        <w:t>Objective</w:t>
      </w:r>
      <w:r>
        <w:tab/>
      </w:r>
      <w:r>
        <w:tab/>
      </w:r>
      <w:r>
        <w:tab/>
      </w:r>
      <w:r>
        <w:tab/>
      </w:r>
      <w:r>
        <w:tab/>
      </w:r>
      <w:r>
        <w:tab/>
      </w:r>
      <w:r>
        <w:tab/>
        <w:t>x</w:t>
      </w:r>
    </w:p>
    <w:p w:rsidR="001B52EB" w:rsidRDefault="001B52EB" w:rsidP="001B52EB">
      <w:pPr>
        <w:pStyle w:val="ListParagraph"/>
      </w:pPr>
    </w:p>
    <w:p w:rsidR="001B52EB" w:rsidRDefault="001B52EB" w:rsidP="001B52EB">
      <w:pPr>
        <w:pStyle w:val="ListParagraph"/>
        <w:numPr>
          <w:ilvl w:val="0"/>
          <w:numId w:val="1"/>
        </w:numPr>
      </w:pPr>
      <w:r>
        <w:t>Terminology and Definitions</w:t>
      </w:r>
      <w:r>
        <w:tab/>
      </w:r>
      <w:r>
        <w:tab/>
      </w:r>
      <w:r>
        <w:tab/>
      </w:r>
      <w:r>
        <w:tab/>
      </w:r>
      <w:r>
        <w:tab/>
        <w:t>x</w:t>
      </w:r>
    </w:p>
    <w:p w:rsidR="001B52EB" w:rsidRDefault="001B52EB" w:rsidP="001B52EB">
      <w:pPr>
        <w:pStyle w:val="ListParagraph"/>
      </w:pPr>
    </w:p>
    <w:p w:rsidR="001B52EB" w:rsidRDefault="001B52EB" w:rsidP="001B52EB">
      <w:pPr>
        <w:pStyle w:val="ListParagraph"/>
        <w:numPr>
          <w:ilvl w:val="0"/>
          <w:numId w:val="1"/>
        </w:numPr>
      </w:pPr>
      <w:r>
        <w:t>Accounting Policy</w:t>
      </w:r>
      <w:r>
        <w:tab/>
      </w:r>
      <w:r>
        <w:tab/>
      </w:r>
      <w:r>
        <w:tab/>
      </w:r>
      <w:r>
        <w:tab/>
      </w:r>
      <w:r>
        <w:tab/>
      </w:r>
      <w:r>
        <w:tab/>
        <w:t>x</w:t>
      </w:r>
    </w:p>
    <w:p w:rsidR="001B52EB" w:rsidRDefault="001B52EB" w:rsidP="001B52EB">
      <w:pPr>
        <w:pStyle w:val="ListParagraph"/>
      </w:pPr>
    </w:p>
    <w:p w:rsidR="001B52EB" w:rsidRDefault="001B52EB" w:rsidP="001B52EB">
      <w:pPr>
        <w:pStyle w:val="ListParagraph"/>
        <w:numPr>
          <w:ilvl w:val="0"/>
          <w:numId w:val="1"/>
        </w:numPr>
      </w:pPr>
      <w:r>
        <w:t>Identification and Accounting Treatment of Commitments</w:t>
      </w:r>
      <w:r>
        <w:tab/>
        <w:t>x</w:t>
      </w:r>
    </w:p>
    <w:p w:rsidR="001B52EB" w:rsidRDefault="001B52EB" w:rsidP="001B52EB">
      <w:pPr>
        <w:pStyle w:val="ListParagraph"/>
      </w:pPr>
    </w:p>
    <w:p w:rsidR="001B52EB" w:rsidRDefault="001B52EB" w:rsidP="001B52EB">
      <w:pPr>
        <w:pStyle w:val="ListParagraph"/>
        <w:numPr>
          <w:ilvl w:val="0"/>
          <w:numId w:val="1"/>
        </w:numPr>
      </w:pPr>
      <w:r>
        <w:t xml:space="preserve">General Disclosure Requirements of Commitments </w:t>
      </w:r>
      <w:r>
        <w:tab/>
      </w:r>
      <w:r>
        <w:tab/>
        <w:t>x</w:t>
      </w:r>
    </w:p>
    <w:p w:rsidR="001B52EB" w:rsidRDefault="001B52EB" w:rsidP="001B52EB">
      <w:pPr>
        <w:pStyle w:val="ListParagraph"/>
      </w:pPr>
    </w:p>
    <w:p w:rsidR="001B52EB" w:rsidRDefault="001B52EB" w:rsidP="001B52EB">
      <w:pPr>
        <w:pStyle w:val="ListParagraph"/>
        <w:numPr>
          <w:ilvl w:val="1"/>
          <w:numId w:val="1"/>
        </w:numPr>
      </w:pPr>
      <w:r>
        <w:t>Notes to the financial statements</w:t>
      </w:r>
      <w:r>
        <w:tab/>
      </w:r>
      <w:r>
        <w:tab/>
      </w:r>
      <w:r>
        <w:tab/>
        <w:t>x</w:t>
      </w:r>
    </w:p>
    <w:p w:rsidR="001B52EB" w:rsidRDefault="001B52EB" w:rsidP="001B52EB">
      <w:pPr>
        <w:pStyle w:val="ListParagraph"/>
        <w:numPr>
          <w:ilvl w:val="1"/>
          <w:numId w:val="1"/>
        </w:numPr>
      </w:pPr>
      <w:r>
        <w:t>Contract / Commitments Register</w:t>
      </w:r>
      <w:r>
        <w:tab/>
      </w:r>
      <w:r>
        <w:tab/>
      </w:r>
      <w:r>
        <w:tab/>
        <w:t>x</w:t>
      </w:r>
    </w:p>
    <w:p w:rsidR="003C6945" w:rsidRDefault="003C6945" w:rsidP="001B52EB">
      <w:pPr>
        <w:pStyle w:val="ListParagraph"/>
        <w:numPr>
          <w:ilvl w:val="1"/>
          <w:numId w:val="1"/>
        </w:numPr>
      </w:pPr>
      <w:r>
        <w:t xml:space="preserve">Disclosure template </w:t>
      </w:r>
    </w:p>
    <w:p w:rsidR="00602378" w:rsidRDefault="00602378" w:rsidP="00602378">
      <w:pPr>
        <w:pStyle w:val="ListParagraph"/>
        <w:ind w:left="1440"/>
      </w:pPr>
    </w:p>
    <w:p w:rsidR="00602378" w:rsidRDefault="00602378" w:rsidP="00602378">
      <w:pPr>
        <w:pStyle w:val="ListParagraph"/>
        <w:numPr>
          <w:ilvl w:val="0"/>
          <w:numId w:val="1"/>
        </w:numPr>
      </w:pPr>
      <w:r>
        <w:t>Policy Implementation and Review</w:t>
      </w:r>
    </w:p>
    <w:p w:rsidR="00580F06" w:rsidRDefault="00580F06">
      <w:r>
        <w:br w:type="page"/>
      </w:r>
    </w:p>
    <w:p w:rsidR="00580F06" w:rsidRPr="005F44E2" w:rsidRDefault="00580F06" w:rsidP="00D55D4C">
      <w:pPr>
        <w:pStyle w:val="Heading1"/>
        <w:rPr>
          <w:rFonts w:asciiTheme="minorHAnsi" w:hAnsiTheme="minorHAnsi"/>
          <w:b/>
          <w:color w:val="auto"/>
        </w:rPr>
      </w:pPr>
      <w:r w:rsidRPr="005F44E2">
        <w:rPr>
          <w:rFonts w:asciiTheme="minorHAnsi" w:hAnsiTheme="minorHAnsi"/>
          <w:b/>
          <w:color w:val="auto"/>
        </w:rPr>
        <w:lastRenderedPageBreak/>
        <w:t>Legislative Requirements</w:t>
      </w:r>
    </w:p>
    <w:p w:rsidR="00580F06" w:rsidRDefault="00580F06" w:rsidP="00580F06">
      <w:pPr>
        <w:pStyle w:val="Default"/>
        <w:rPr>
          <w:b/>
        </w:rPr>
      </w:pPr>
    </w:p>
    <w:p w:rsidR="00580F06" w:rsidRDefault="00580F06" w:rsidP="00580F06">
      <w:pPr>
        <w:pStyle w:val="Default"/>
        <w:rPr>
          <w:b/>
        </w:rPr>
      </w:pPr>
      <w:r>
        <w:rPr>
          <w:b/>
        </w:rPr>
        <w:t>Municipal Finance Management Act (MFMA)</w:t>
      </w:r>
    </w:p>
    <w:p w:rsidR="00580F06" w:rsidRDefault="00602378" w:rsidP="00580F06">
      <w:pPr>
        <w:pStyle w:val="Default"/>
      </w:pPr>
      <w:r>
        <w:t>The MFMA endeavours “to secure sound and sustainable management of the fiscal and financial affairs of municipalities and municipal entities by establishing norms and standards and other requirements.”</w:t>
      </w:r>
    </w:p>
    <w:p w:rsidR="00602378" w:rsidRDefault="00602378" w:rsidP="00580F06">
      <w:pPr>
        <w:pStyle w:val="Default"/>
      </w:pPr>
    </w:p>
    <w:p w:rsidR="00602378" w:rsidRPr="00580F06" w:rsidRDefault="00602378" w:rsidP="00580F06">
      <w:pPr>
        <w:pStyle w:val="Default"/>
      </w:pPr>
      <w:r>
        <w:t xml:space="preserve">Chapter 12 of the MFMA places the onus on the Municipality to take responsibility for the preparation and adoption of an annual report in accordance with this Chapter. Chapter 12 provides guidance on the preparation of financial statements, disclosures on intergovernmental and other allocations and other compulsory disclosures. </w:t>
      </w:r>
    </w:p>
    <w:p w:rsidR="00580F06" w:rsidRDefault="00580F06" w:rsidP="00580F06">
      <w:pPr>
        <w:pStyle w:val="Default"/>
        <w:rPr>
          <w:b/>
        </w:rPr>
      </w:pPr>
    </w:p>
    <w:p w:rsidR="00F64587" w:rsidRPr="005F44E2" w:rsidRDefault="00F64587" w:rsidP="00D55D4C">
      <w:pPr>
        <w:pStyle w:val="Heading1"/>
        <w:rPr>
          <w:rFonts w:asciiTheme="minorHAnsi" w:hAnsiTheme="minorHAnsi"/>
          <w:b/>
          <w:color w:val="auto"/>
        </w:rPr>
      </w:pPr>
      <w:r w:rsidRPr="005F44E2">
        <w:rPr>
          <w:rFonts w:asciiTheme="minorHAnsi" w:hAnsiTheme="minorHAnsi"/>
          <w:b/>
          <w:color w:val="auto"/>
        </w:rPr>
        <w:t>Objective</w:t>
      </w:r>
    </w:p>
    <w:p w:rsidR="008D237E" w:rsidRDefault="008D237E" w:rsidP="008D237E">
      <w:pPr>
        <w:pStyle w:val="Default"/>
        <w:ind w:left="720"/>
        <w:rPr>
          <w:b/>
        </w:rPr>
      </w:pPr>
    </w:p>
    <w:p w:rsidR="00580F06" w:rsidRDefault="00F64587" w:rsidP="00580F06">
      <w:pPr>
        <w:pStyle w:val="Default"/>
      </w:pPr>
      <w:r>
        <w:t xml:space="preserve">The objective of this Policy is to </w:t>
      </w:r>
      <w:r w:rsidR="002608F8">
        <w:t xml:space="preserve">clearly </w:t>
      </w:r>
      <w:r>
        <w:t>define the responsibilities of Msunduzi Local Municipality, in terms of the MFMA, with respect to the identification and disclosure of both ‘approved and contracted for’ and ‘approved but not yet contracted for’ commitments in its Annual Financial Statements (AFS).</w:t>
      </w:r>
    </w:p>
    <w:p w:rsidR="00915C70" w:rsidRDefault="00915C70" w:rsidP="00580F06">
      <w:pPr>
        <w:pStyle w:val="Default"/>
      </w:pPr>
    </w:p>
    <w:p w:rsidR="00915C70" w:rsidRPr="00602378" w:rsidRDefault="00915C70" w:rsidP="00580F06">
      <w:pPr>
        <w:pStyle w:val="Default"/>
      </w:pPr>
      <w:r w:rsidRPr="00602378">
        <w:t>This policy document addresses the following areas:</w:t>
      </w:r>
    </w:p>
    <w:p w:rsidR="00915C70" w:rsidRPr="00D55D4C" w:rsidRDefault="00915C70" w:rsidP="008A1668">
      <w:pPr>
        <w:pStyle w:val="Heading2"/>
        <w:numPr>
          <w:ilvl w:val="2"/>
          <w:numId w:val="16"/>
        </w:numPr>
        <w:rPr>
          <w:rFonts w:asciiTheme="minorHAnsi" w:hAnsiTheme="minorHAnsi"/>
          <w:color w:val="auto"/>
          <w:sz w:val="24"/>
          <w:szCs w:val="24"/>
        </w:rPr>
      </w:pPr>
      <w:r w:rsidRPr="00D55D4C">
        <w:rPr>
          <w:rFonts w:asciiTheme="minorHAnsi" w:hAnsiTheme="minorHAnsi"/>
          <w:color w:val="auto"/>
          <w:sz w:val="24"/>
          <w:szCs w:val="24"/>
        </w:rPr>
        <w:t>The definition of a commitment</w:t>
      </w:r>
    </w:p>
    <w:p w:rsidR="00915C70" w:rsidRPr="00D55D4C" w:rsidRDefault="00915C70" w:rsidP="008A1668">
      <w:pPr>
        <w:pStyle w:val="Heading2"/>
        <w:numPr>
          <w:ilvl w:val="2"/>
          <w:numId w:val="16"/>
        </w:numPr>
        <w:rPr>
          <w:rFonts w:asciiTheme="minorHAnsi" w:hAnsiTheme="minorHAnsi"/>
          <w:color w:val="auto"/>
          <w:sz w:val="24"/>
          <w:szCs w:val="24"/>
        </w:rPr>
      </w:pPr>
      <w:r w:rsidRPr="00D55D4C">
        <w:rPr>
          <w:rFonts w:asciiTheme="minorHAnsi" w:hAnsiTheme="minorHAnsi"/>
          <w:color w:val="auto"/>
          <w:sz w:val="24"/>
          <w:szCs w:val="24"/>
        </w:rPr>
        <w:t>The definition of ‘approved and contracted for’ commitments, ‘approved but not yet contracted for’ commitments, ‘capital expenditure’ and ‘current expenditure’</w:t>
      </w:r>
    </w:p>
    <w:p w:rsidR="00915C70" w:rsidRPr="00D55D4C" w:rsidRDefault="00915C70" w:rsidP="008A1668">
      <w:pPr>
        <w:pStyle w:val="Heading2"/>
        <w:numPr>
          <w:ilvl w:val="2"/>
          <w:numId w:val="16"/>
        </w:numPr>
        <w:rPr>
          <w:rFonts w:asciiTheme="minorHAnsi" w:hAnsiTheme="minorHAnsi"/>
          <w:color w:val="auto"/>
          <w:sz w:val="24"/>
          <w:szCs w:val="24"/>
        </w:rPr>
      </w:pPr>
      <w:r w:rsidRPr="00D55D4C">
        <w:rPr>
          <w:rFonts w:asciiTheme="minorHAnsi" w:hAnsiTheme="minorHAnsi"/>
          <w:color w:val="auto"/>
          <w:sz w:val="24"/>
          <w:szCs w:val="24"/>
        </w:rPr>
        <w:t>The Accounting Policy with respect to commitments</w:t>
      </w:r>
    </w:p>
    <w:p w:rsidR="00915C70" w:rsidRPr="00D55D4C" w:rsidRDefault="00915C70" w:rsidP="008A1668">
      <w:pPr>
        <w:pStyle w:val="Heading2"/>
        <w:numPr>
          <w:ilvl w:val="2"/>
          <w:numId w:val="16"/>
        </w:numPr>
        <w:rPr>
          <w:rFonts w:asciiTheme="minorHAnsi" w:hAnsiTheme="minorHAnsi"/>
          <w:color w:val="auto"/>
          <w:sz w:val="24"/>
          <w:szCs w:val="24"/>
        </w:rPr>
      </w:pPr>
      <w:r w:rsidRPr="00D55D4C">
        <w:rPr>
          <w:rFonts w:asciiTheme="minorHAnsi" w:hAnsiTheme="minorHAnsi"/>
          <w:color w:val="auto"/>
          <w:sz w:val="24"/>
          <w:szCs w:val="24"/>
        </w:rPr>
        <w:t>Guidance on the identification and accounting treatment of commitments</w:t>
      </w:r>
    </w:p>
    <w:p w:rsidR="00915C70" w:rsidRPr="00D55D4C" w:rsidRDefault="00915C70" w:rsidP="008A1668">
      <w:pPr>
        <w:pStyle w:val="Heading2"/>
        <w:numPr>
          <w:ilvl w:val="2"/>
          <w:numId w:val="16"/>
        </w:numPr>
        <w:rPr>
          <w:rFonts w:asciiTheme="minorHAnsi" w:hAnsiTheme="minorHAnsi"/>
          <w:color w:val="auto"/>
          <w:sz w:val="24"/>
          <w:szCs w:val="24"/>
        </w:rPr>
      </w:pPr>
      <w:r w:rsidRPr="00D55D4C">
        <w:rPr>
          <w:rFonts w:asciiTheme="minorHAnsi" w:hAnsiTheme="minorHAnsi"/>
          <w:color w:val="auto"/>
          <w:sz w:val="24"/>
          <w:szCs w:val="24"/>
        </w:rPr>
        <w:t xml:space="preserve">Guidance on the disclosure requirements of commitments </w:t>
      </w:r>
    </w:p>
    <w:p w:rsidR="00B877AC" w:rsidRDefault="00B877AC" w:rsidP="00B877AC">
      <w:pPr>
        <w:pStyle w:val="ListBullet"/>
        <w:ind w:left="340" w:hanging="340"/>
      </w:pPr>
    </w:p>
    <w:p w:rsidR="00B877AC" w:rsidRPr="00D55D4C" w:rsidRDefault="00B877AC" w:rsidP="00D55D4C">
      <w:pPr>
        <w:pStyle w:val="Heading1"/>
        <w:rPr>
          <w:b/>
          <w:color w:val="auto"/>
        </w:rPr>
      </w:pPr>
      <w:r w:rsidRPr="00D55D4C">
        <w:rPr>
          <w:b/>
          <w:color w:val="auto"/>
        </w:rPr>
        <w:t>Terminology and Definitions</w:t>
      </w:r>
    </w:p>
    <w:p w:rsidR="00B877AC" w:rsidRDefault="00B877AC" w:rsidP="00B877AC">
      <w:pPr>
        <w:pStyle w:val="ListBullet"/>
        <w:ind w:left="340" w:hanging="340"/>
        <w:rPr>
          <w:b/>
        </w:rPr>
      </w:pPr>
    </w:p>
    <w:p w:rsidR="00B877AC" w:rsidRDefault="00B877AC" w:rsidP="00B877AC">
      <w:pPr>
        <w:pStyle w:val="Default"/>
      </w:pPr>
      <w:r>
        <w:t xml:space="preserve">A </w:t>
      </w:r>
      <w:r w:rsidRPr="00B877AC">
        <w:rPr>
          <w:b/>
        </w:rPr>
        <w:t>commitment</w:t>
      </w:r>
      <w:r>
        <w:t xml:space="preserve">represents goods/services that have been approved and/or contracted for, but where delivery has not taken place at the reporting date. A commitment arises when a decision has been made to incur a liability in the future. The commitment converts to a liability when that intention becomes a present obligation – i.e. when the delivery of the contracted goods/services has taken place. </w:t>
      </w:r>
    </w:p>
    <w:p w:rsidR="00B877AC" w:rsidRDefault="00B877AC" w:rsidP="00B877AC">
      <w:pPr>
        <w:pStyle w:val="Default"/>
      </w:pPr>
    </w:p>
    <w:p w:rsidR="00B877AC" w:rsidRDefault="00B877AC" w:rsidP="00B877AC">
      <w:pPr>
        <w:pStyle w:val="Default"/>
      </w:pPr>
      <w:r>
        <w:rPr>
          <w:b/>
        </w:rPr>
        <w:t xml:space="preserve">Capital commitments </w:t>
      </w:r>
      <w:r>
        <w:t xml:space="preserve">arise when the Msunduzi Local Municipality has entered into a contract on or before the end of the financial year/reporting date to incur expenditure over subsequent accounting periods relating to the construction of infrastructure, the purchase of major items of property, plant and equipment or significant consultancy costs. </w:t>
      </w:r>
    </w:p>
    <w:p w:rsidR="00B877AC" w:rsidRDefault="00B877AC" w:rsidP="00B877AC">
      <w:pPr>
        <w:pStyle w:val="Default"/>
      </w:pPr>
    </w:p>
    <w:p w:rsidR="00B877AC" w:rsidRDefault="00B877AC" w:rsidP="00B877AC">
      <w:pPr>
        <w:pStyle w:val="Default"/>
      </w:pPr>
      <w:r>
        <w:rPr>
          <w:b/>
        </w:rPr>
        <w:t xml:space="preserve">Operational commitments </w:t>
      </w:r>
      <w:r>
        <w:t xml:space="preserve">arise when the Msunduzi Local Municipality has ordered goods/services in the normal course of business but where delivery has not taken place at the end of the financial year/reporting date. </w:t>
      </w:r>
    </w:p>
    <w:p w:rsidR="00D35C7E" w:rsidRDefault="00D35C7E" w:rsidP="00B877AC">
      <w:pPr>
        <w:pStyle w:val="Default"/>
      </w:pPr>
    </w:p>
    <w:p w:rsidR="00D35C7E" w:rsidRDefault="00D35C7E" w:rsidP="00B877AC">
      <w:pPr>
        <w:pStyle w:val="Default"/>
      </w:pPr>
      <w:r>
        <w:t xml:space="preserve">An </w:t>
      </w:r>
      <w:r>
        <w:rPr>
          <w:b/>
        </w:rPr>
        <w:t>approved and contracted for commitment</w:t>
      </w:r>
      <w:r>
        <w:t xml:space="preserve"> is where the expenditure has been approved and the contract has been awarded at the end of the financial year/reporting date. </w:t>
      </w:r>
    </w:p>
    <w:p w:rsidR="00003C54" w:rsidRDefault="00003C54" w:rsidP="00B877AC">
      <w:pPr>
        <w:pStyle w:val="Default"/>
      </w:pPr>
    </w:p>
    <w:p w:rsidR="00003C54" w:rsidRDefault="00003C54" w:rsidP="00B877AC">
      <w:pPr>
        <w:pStyle w:val="Default"/>
      </w:pPr>
      <w:r>
        <w:t xml:space="preserve">An </w:t>
      </w:r>
      <w:r>
        <w:rPr>
          <w:b/>
        </w:rPr>
        <w:t>approved and not yet contracted for commitment</w:t>
      </w:r>
      <w:r>
        <w:t xml:space="preserve"> is where the expenditure has been approved but the contract has not yet been awarded or is awaiting finalisation at the end of the financial year/reporting date. </w:t>
      </w:r>
    </w:p>
    <w:p w:rsidR="00003C54" w:rsidRDefault="00003C54" w:rsidP="00B877AC">
      <w:pPr>
        <w:pStyle w:val="Default"/>
      </w:pPr>
    </w:p>
    <w:p w:rsidR="00003C54" w:rsidRDefault="00003C54" w:rsidP="00B877AC">
      <w:pPr>
        <w:pStyle w:val="Default"/>
      </w:pPr>
      <w:r>
        <w:rPr>
          <w:b/>
        </w:rPr>
        <w:t xml:space="preserve">Capital expenditure </w:t>
      </w:r>
      <w:r>
        <w:t>is expenditure incurred to purchase, upgrade or construct physical assets (for e.g. buildings) for which th</w:t>
      </w:r>
      <w:r w:rsidR="002608F8">
        <w:t xml:space="preserve">ere will be a long-term benefit. Long-term is defined as longer than one year. </w:t>
      </w:r>
    </w:p>
    <w:p w:rsidR="00003C54" w:rsidRDefault="00003C54" w:rsidP="00B877AC">
      <w:pPr>
        <w:pStyle w:val="Default"/>
      </w:pPr>
    </w:p>
    <w:p w:rsidR="00003C54" w:rsidRDefault="00003C54" w:rsidP="00B877AC">
      <w:pPr>
        <w:pStyle w:val="Default"/>
      </w:pPr>
      <w:r>
        <w:rPr>
          <w:b/>
        </w:rPr>
        <w:t xml:space="preserve">Current/Operational expenditure </w:t>
      </w:r>
      <w:r>
        <w:t>is expenditure incurred to purchase goods or services for which there</w:t>
      </w:r>
      <w:r w:rsidR="002608F8">
        <w:t xml:space="preserve"> will be a short-term benefit</w:t>
      </w:r>
      <w:r>
        <w:t xml:space="preserve"> and which has been incurred in the normal course of business. </w:t>
      </w:r>
      <w:r w:rsidR="002608F8">
        <w:t>Short-term is defined as less than one year.</w:t>
      </w:r>
    </w:p>
    <w:p w:rsidR="002608F8" w:rsidRDefault="002608F8" w:rsidP="00B877AC">
      <w:pPr>
        <w:pStyle w:val="Default"/>
      </w:pPr>
    </w:p>
    <w:p w:rsidR="002608F8" w:rsidRDefault="002608F8" w:rsidP="00B877AC">
      <w:pPr>
        <w:pStyle w:val="Default"/>
      </w:pPr>
      <w:r>
        <w:rPr>
          <w:b/>
        </w:rPr>
        <w:t>Annual Financial Statements</w:t>
      </w:r>
      <w:r>
        <w:t xml:space="preserve"> in relation to the Msunduzi Local Municipality means statements consisting of at least-</w:t>
      </w:r>
    </w:p>
    <w:p w:rsidR="002608F8" w:rsidRPr="005F44E2" w:rsidRDefault="002608F8" w:rsidP="008A1668">
      <w:pPr>
        <w:pStyle w:val="Heading2"/>
        <w:numPr>
          <w:ilvl w:val="2"/>
          <w:numId w:val="16"/>
        </w:numPr>
        <w:rPr>
          <w:rFonts w:asciiTheme="minorHAnsi" w:hAnsiTheme="minorHAnsi"/>
          <w:color w:val="auto"/>
          <w:sz w:val="24"/>
          <w:szCs w:val="24"/>
        </w:rPr>
      </w:pPr>
      <w:r w:rsidRPr="005F44E2">
        <w:rPr>
          <w:rFonts w:asciiTheme="minorHAnsi" w:hAnsiTheme="minorHAnsi"/>
          <w:color w:val="auto"/>
          <w:sz w:val="24"/>
          <w:szCs w:val="24"/>
        </w:rPr>
        <w:t>A statement of financial position</w:t>
      </w:r>
    </w:p>
    <w:p w:rsidR="002608F8" w:rsidRPr="005F44E2" w:rsidRDefault="002608F8" w:rsidP="008A1668">
      <w:pPr>
        <w:pStyle w:val="Heading2"/>
        <w:numPr>
          <w:ilvl w:val="2"/>
          <w:numId w:val="16"/>
        </w:numPr>
        <w:rPr>
          <w:rFonts w:asciiTheme="minorHAnsi" w:hAnsiTheme="minorHAnsi"/>
          <w:color w:val="auto"/>
          <w:sz w:val="24"/>
          <w:szCs w:val="24"/>
        </w:rPr>
      </w:pPr>
      <w:r w:rsidRPr="005F44E2">
        <w:rPr>
          <w:rFonts w:asciiTheme="minorHAnsi" w:hAnsiTheme="minorHAnsi"/>
          <w:color w:val="auto"/>
          <w:sz w:val="24"/>
          <w:szCs w:val="24"/>
        </w:rPr>
        <w:t>A statement of financial performance</w:t>
      </w:r>
    </w:p>
    <w:p w:rsidR="002608F8" w:rsidRPr="005F44E2" w:rsidRDefault="002608F8" w:rsidP="008A1668">
      <w:pPr>
        <w:pStyle w:val="Heading2"/>
        <w:numPr>
          <w:ilvl w:val="2"/>
          <w:numId w:val="16"/>
        </w:numPr>
        <w:rPr>
          <w:rFonts w:asciiTheme="minorHAnsi" w:hAnsiTheme="minorHAnsi"/>
          <w:color w:val="auto"/>
          <w:sz w:val="24"/>
          <w:szCs w:val="24"/>
        </w:rPr>
      </w:pPr>
      <w:r w:rsidRPr="005F44E2">
        <w:rPr>
          <w:rFonts w:asciiTheme="minorHAnsi" w:hAnsiTheme="minorHAnsi"/>
          <w:color w:val="auto"/>
          <w:sz w:val="24"/>
          <w:szCs w:val="24"/>
        </w:rPr>
        <w:t>A cash-flow statement</w:t>
      </w:r>
    </w:p>
    <w:p w:rsidR="002608F8" w:rsidRPr="005F44E2" w:rsidRDefault="002608F8" w:rsidP="008A1668">
      <w:pPr>
        <w:pStyle w:val="Heading2"/>
        <w:numPr>
          <w:ilvl w:val="2"/>
          <w:numId w:val="16"/>
        </w:numPr>
        <w:rPr>
          <w:rFonts w:asciiTheme="minorHAnsi" w:hAnsiTheme="minorHAnsi"/>
          <w:color w:val="auto"/>
          <w:sz w:val="24"/>
          <w:szCs w:val="24"/>
        </w:rPr>
      </w:pPr>
      <w:r w:rsidRPr="005F44E2">
        <w:rPr>
          <w:rFonts w:asciiTheme="minorHAnsi" w:hAnsiTheme="minorHAnsi"/>
          <w:color w:val="auto"/>
          <w:sz w:val="24"/>
          <w:szCs w:val="24"/>
        </w:rPr>
        <w:t>Any other statements that may be prescribed, and</w:t>
      </w:r>
    </w:p>
    <w:p w:rsidR="002608F8" w:rsidRPr="005F44E2" w:rsidRDefault="002608F8" w:rsidP="008A1668">
      <w:pPr>
        <w:pStyle w:val="Heading2"/>
        <w:numPr>
          <w:ilvl w:val="2"/>
          <w:numId w:val="16"/>
        </w:numPr>
        <w:rPr>
          <w:rFonts w:asciiTheme="minorHAnsi" w:hAnsiTheme="minorHAnsi"/>
          <w:color w:val="auto"/>
          <w:sz w:val="24"/>
          <w:szCs w:val="24"/>
        </w:rPr>
      </w:pPr>
      <w:r w:rsidRPr="005F44E2">
        <w:rPr>
          <w:rFonts w:asciiTheme="minorHAnsi" w:hAnsiTheme="minorHAnsi"/>
          <w:color w:val="auto"/>
          <w:sz w:val="24"/>
          <w:szCs w:val="24"/>
        </w:rPr>
        <w:t>Any notes to these statements.</w:t>
      </w:r>
    </w:p>
    <w:p w:rsidR="002608F8" w:rsidRDefault="002608F8" w:rsidP="002608F8">
      <w:pPr>
        <w:pStyle w:val="Default"/>
      </w:pPr>
    </w:p>
    <w:p w:rsidR="002608F8" w:rsidRPr="002608F8" w:rsidRDefault="002608F8" w:rsidP="002608F8">
      <w:pPr>
        <w:pStyle w:val="Default"/>
      </w:pPr>
      <w:r>
        <w:rPr>
          <w:b/>
        </w:rPr>
        <w:t>Financial Year</w:t>
      </w:r>
      <w:r>
        <w:t xml:space="preserve"> means a year ending on 30 June.</w:t>
      </w:r>
    </w:p>
    <w:p w:rsidR="008D237E" w:rsidRDefault="008D237E" w:rsidP="00B877AC">
      <w:pPr>
        <w:pStyle w:val="Default"/>
      </w:pPr>
    </w:p>
    <w:p w:rsidR="008D237E" w:rsidRPr="005F44E2" w:rsidRDefault="008D237E" w:rsidP="00D55D4C">
      <w:pPr>
        <w:pStyle w:val="Heading1"/>
        <w:rPr>
          <w:rFonts w:asciiTheme="minorHAnsi" w:hAnsiTheme="minorHAnsi"/>
          <w:b/>
          <w:color w:val="auto"/>
        </w:rPr>
      </w:pPr>
      <w:r w:rsidRPr="005F44E2">
        <w:rPr>
          <w:rFonts w:asciiTheme="minorHAnsi" w:hAnsiTheme="minorHAnsi"/>
          <w:b/>
          <w:color w:val="auto"/>
        </w:rPr>
        <w:t>Accounting Policy</w:t>
      </w:r>
    </w:p>
    <w:p w:rsidR="008D237E" w:rsidRDefault="008D237E" w:rsidP="008D237E">
      <w:pPr>
        <w:pStyle w:val="Default"/>
        <w:ind w:left="720"/>
        <w:rPr>
          <w:b/>
        </w:rPr>
      </w:pPr>
    </w:p>
    <w:p w:rsidR="00DF3ACF" w:rsidRDefault="00DF3ACF" w:rsidP="008D237E">
      <w:pPr>
        <w:pStyle w:val="Default"/>
      </w:pPr>
      <w:r>
        <w:t>This Policy has been formulated in terms of the MFMA and the Generally Recognised Accounting Practice Statement on Presentation of Financial Statements (GRAP1), as well as disclosure prescribed in the June 2006 National Treasury specimen annual financial statements.</w:t>
      </w:r>
    </w:p>
    <w:p w:rsidR="00DF3ACF" w:rsidRDefault="00DF3ACF" w:rsidP="008D237E">
      <w:pPr>
        <w:pStyle w:val="Default"/>
      </w:pPr>
    </w:p>
    <w:p w:rsidR="008D237E" w:rsidRDefault="008D237E" w:rsidP="008D237E">
      <w:pPr>
        <w:pStyle w:val="Default"/>
      </w:pPr>
      <w:r>
        <w:t xml:space="preserve">Commitments are not recognised in the Statement of Financial Position nor the Statement of Financial Performance, but are included in the disclosure notes to the AFS. </w:t>
      </w:r>
      <w:r w:rsidR="00602378">
        <w:t xml:space="preserve">A distinction is made between capital and current commitments. </w:t>
      </w:r>
    </w:p>
    <w:p w:rsidR="008D237E" w:rsidRDefault="008D237E" w:rsidP="008D237E">
      <w:pPr>
        <w:pStyle w:val="Default"/>
      </w:pPr>
    </w:p>
    <w:p w:rsidR="008D237E" w:rsidRDefault="008D237E" w:rsidP="008D237E">
      <w:pPr>
        <w:pStyle w:val="Default"/>
      </w:pPr>
      <w:r>
        <w:t>The disclosure of commitments entered into before the end of the financial year/reporting date shall be done in the financial statements as prescribed in the following GRAP standards:</w:t>
      </w:r>
    </w:p>
    <w:p w:rsidR="008D237E" w:rsidRDefault="008D237E" w:rsidP="008D237E">
      <w:pPr>
        <w:pStyle w:val="Default"/>
      </w:pPr>
    </w:p>
    <w:p w:rsidR="008D237E" w:rsidRPr="005F44E2" w:rsidRDefault="008D237E" w:rsidP="008A1668">
      <w:pPr>
        <w:pStyle w:val="Heading2"/>
        <w:numPr>
          <w:ilvl w:val="2"/>
          <w:numId w:val="16"/>
        </w:numPr>
        <w:rPr>
          <w:rFonts w:asciiTheme="minorHAnsi" w:hAnsiTheme="minorHAnsi"/>
          <w:color w:val="auto"/>
          <w:sz w:val="24"/>
          <w:szCs w:val="24"/>
        </w:rPr>
      </w:pPr>
      <w:r w:rsidRPr="005F44E2">
        <w:rPr>
          <w:rFonts w:asciiTheme="minorHAnsi" w:hAnsiTheme="minorHAnsi"/>
          <w:b/>
          <w:color w:val="auto"/>
          <w:sz w:val="24"/>
          <w:szCs w:val="24"/>
        </w:rPr>
        <w:lastRenderedPageBreak/>
        <w:t>GRAP 1 – Presentation of Financial Statements (GRAP 1:.124)</w:t>
      </w:r>
      <w:r w:rsidRPr="005F44E2">
        <w:rPr>
          <w:rFonts w:asciiTheme="minorHAnsi" w:hAnsiTheme="minorHAnsi"/>
          <w:color w:val="auto"/>
          <w:sz w:val="24"/>
          <w:szCs w:val="24"/>
        </w:rPr>
        <w:t xml:space="preserve"> requires the disclosure of unrecognised contractual commitments </w:t>
      </w:r>
    </w:p>
    <w:p w:rsidR="008D237E" w:rsidRPr="005F44E2" w:rsidRDefault="008D237E" w:rsidP="00D55D4C">
      <w:pPr>
        <w:pStyle w:val="Heading2"/>
        <w:numPr>
          <w:ilvl w:val="0"/>
          <w:numId w:val="0"/>
        </w:numPr>
        <w:ind w:left="567"/>
        <w:rPr>
          <w:rFonts w:asciiTheme="minorHAnsi" w:hAnsiTheme="minorHAnsi"/>
          <w:color w:val="auto"/>
          <w:sz w:val="24"/>
          <w:szCs w:val="24"/>
        </w:rPr>
      </w:pPr>
    </w:p>
    <w:p w:rsidR="008D237E" w:rsidRPr="008A1668" w:rsidRDefault="008D237E" w:rsidP="008A1668">
      <w:pPr>
        <w:pStyle w:val="Heading2"/>
        <w:numPr>
          <w:ilvl w:val="2"/>
          <w:numId w:val="16"/>
        </w:numPr>
        <w:rPr>
          <w:rFonts w:asciiTheme="minorHAnsi" w:hAnsiTheme="minorHAnsi"/>
          <w:color w:val="auto"/>
          <w:sz w:val="24"/>
          <w:szCs w:val="24"/>
        </w:rPr>
      </w:pPr>
      <w:r w:rsidRPr="008A1668">
        <w:rPr>
          <w:rFonts w:asciiTheme="minorHAnsi" w:hAnsiTheme="minorHAnsi"/>
          <w:b/>
          <w:color w:val="auto"/>
          <w:sz w:val="24"/>
          <w:szCs w:val="24"/>
        </w:rPr>
        <w:t>GRAP 13 – Leases (GRAP 13:.28)</w:t>
      </w:r>
      <w:r w:rsidRPr="008A1668">
        <w:rPr>
          <w:rFonts w:asciiTheme="minorHAnsi" w:hAnsiTheme="minorHAnsi"/>
          <w:color w:val="auto"/>
          <w:sz w:val="24"/>
          <w:szCs w:val="24"/>
        </w:rPr>
        <w:t xml:space="preserve"> requires the disclosure of the future minimum lease payments</w:t>
      </w:r>
    </w:p>
    <w:p w:rsidR="008D237E" w:rsidRPr="008A1668" w:rsidRDefault="008D237E" w:rsidP="008A1668">
      <w:pPr>
        <w:pStyle w:val="Heading2"/>
        <w:numPr>
          <w:ilvl w:val="0"/>
          <w:numId w:val="0"/>
        </w:numPr>
        <w:ind w:left="720"/>
        <w:rPr>
          <w:rFonts w:asciiTheme="minorHAnsi" w:hAnsiTheme="minorHAnsi"/>
          <w:color w:val="auto"/>
          <w:sz w:val="24"/>
          <w:szCs w:val="24"/>
        </w:rPr>
      </w:pPr>
    </w:p>
    <w:p w:rsidR="008D237E" w:rsidRPr="008A1668" w:rsidRDefault="008D237E" w:rsidP="008A1668">
      <w:pPr>
        <w:pStyle w:val="Heading2"/>
        <w:numPr>
          <w:ilvl w:val="2"/>
          <w:numId w:val="16"/>
        </w:numPr>
        <w:rPr>
          <w:rFonts w:asciiTheme="minorHAnsi" w:hAnsiTheme="minorHAnsi"/>
          <w:color w:val="auto"/>
          <w:sz w:val="24"/>
          <w:szCs w:val="24"/>
        </w:rPr>
      </w:pPr>
      <w:r w:rsidRPr="008A1668">
        <w:rPr>
          <w:rFonts w:asciiTheme="minorHAnsi" w:hAnsiTheme="minorHAnsi"/>
          <w:b/>
          <w:color w:val="auto"/>
          <w:sz w:val="24"/>
          <w:szCs w:val="24"/>
        </w:rPr>
        <w:t>GRAP 17 – Property, Plant and Equipment (GRAP 17:.86 (c))</w:t>
      </w:r>
      <w:r w:rsidR="00353657" w:rsidRPr="008A1668">
        <w:rPr>
          <w:rFonts w:asciiTheme="minorHAnsi" w:hAnsiTheme="minorHAnsi"/>
          <w:color w:val="auto"/>
          <w:sz w:val="24"/>
          <w:szCs w:val="24"/>
        </w:rPr>
        <w:t xml:space="preserve"> requires the disclosure of contractual commitments for the acquisition of property, plant and equipment</w:t>
      </w:r>
    </w:p>
    <w:p w:rsidR="00353657" w:rsidRPr="008A1668" w:rsidRDefault="00353657" w:rsidP="008A1668">
      <w:pPr>
        <w:pStyle w:val="Heading2"/>
        <w:numPr>
          <w:ilvl w:val="0"/>
          <w:numId w:val="0"/>
        </w:numPr>
        <w:ind w:left="720"/>
        <w:rPr>
          <w:rFonts w:asciiTheme="minorHAnsi" w:hAnsiTheme="minorHAnsi"/>
          <w:color w:val="auto"/>
          <w:sz w:val="24"/>
          <w:szCs w:val="24"/>
        </w:rPr>
      </w:pPr>
    </w:p>
    <w:p w:rsidR="00464AE1" w:rsidRPr="008A1668" w:rsidRDefault="00F2191F" w:rsidP="008A1668">
      <w:pPr>
        <w:pStyle w:val="Heading2"/>
        <w:numPr>
          <w:ilvl w:val="2"/>
          <w:numId w:val="16"/>
        </w:numPr>
        <w:rPr>
          <w:rFonts w:asciiTheme="minorHAnsi" w:hAnsiTheme="minorHAnsi"/>
          <w:color w:val="auto"/>
          <w:sz w:val="24"/>
          <w:szCs w:val="24"/>
        </w:rPr>
      </w:pPr>
      <w:r w:rsidRPr="008A1668">
        <w:rPr>
          <w:rFonts w:asciiTheme="minorHAnsi" w:hAnsiTheme="minorHAnsi"/>
          <w:b/>
          <w:color w:val="auto"/>
          <w:sz w:val="24"/>
          <w:szCs w:val="24"/>
        </w:rPr>
        <w:t>GRAP 31 – Intangible Assets</w:t>
      </w:r>
      <w:r w:rsidR="00D71EC8" w:rsidRPr="008A1668">
        <w:rPr>
          <w:rFonts w:asciiTheme="minorHAnsi" w:hAnsiTheme="minorHAnsi"/>
          <w:b/>
          <w:color w:val="auto"/>
          <w:sz w:val="24"/>
          <w:szCs w:val="24"/>
        </w:rPr>
        <w:t xml:space="preserve"> (GRAP 31:.123 (d))</w:t>
      </w:r>
      <w:r w:rsidR="00D71EC8" w:rsidRPr="008A1668">
        <w:rPr>
          <w:rFonts w:asciiTheme="minorHAnsi" w:hAnsiTheme="minorHAnsi"/>
          <w:color w:val="auto"/>
          <w:sz w:val="24"/>
          <w:szCs w:val="24"/>
        </w:rPr>
        <w:t xml:space="preserve"> requires the disclosure of contractual commitments for the acquisition of intangible assets. </w:t>
      </w:r>
    </w:p>
    <w:p w:rsidR="00464AE1" w:rsidRPr="00CB008D" w:rsidRDefault="00464AE1" w:rsidP="00D55D4C">
      <w:pPr>
        <w:pStyle w:val="Heading1"/>
        <w:rPr>
          <w:rFonts w:asciiTheme="minorHAnsi" w:hAnsiTheme="minorHAnsi"/>
          <w:b/>
          <w:color w:val="auto"/>
        </w:rPr>
      </w:pPr>
      <w:r w:rsidRPr="00CB008D">
        <w:rPr>
          <w:rFonts w:asciiTheme="minorHAnsi" w:hAnsiTheme="minorHAnsi"/>
          <w:b/>
          <w:color w:val="auto"/>
        </w:rPr>
        <w:t>Identification and Accounting Treatment of Commitments</w:t>
      </w:r>
    </w:p>
    <w:p w:rsidR="00464AE1" w:rsidRDefault="00464AE1" w:rsidP="00464AE1">
      <w:pPr>
        <w:pStyle w:val="Default"/>
        <w:ind w:left="360"/>
        <w:rPr>
          <w:b/>
        </w:rPr>
      </w:pPr>
    </w:p>
    <w:p w:rsidR="00464AE1" w:rsidRDefault="00464AE1" w:rsidP="00464AE1">
      <w:pPr>
        <w:pStyle w:val="Default"/>
        <w:ind w:left="360"/>
      </w:pPr>
      <w:r>
        <w:t>In determining whether a commitment exists at the end of th</w:t>
      </w:r>
      <w:r w:rsidR="00FC2FF3">
        <w:t>e financial year/reporting date, the following principals, according to the National Treasury Guidelines, should be applied:</w:t>
      </w:r>
    </w:p>
    <w:p w:rsidR="00464AE1" w:rsidRDefault="00464AE1" w:rsidP="00464AE1">
      <w:pPr>
        <w:pStyle w:val="Default"/>
        <w:ind w:left="360"/>
      </w:pPr>
    </w:p>
    <w:p w:rsidR="00464AE1" w:rsidRPr="00FC2FF3" w:rsidRDefault="00464AE1" w:rsidP="008A1668">
      <w:pPr>
        <w:pStyle w:val="Heading2"/>
        <w:numPr>
          <w:ilvl w:val="2"/>
          <w:numId w:val="16"/>
        </w:numPr>
        <w:rPr>
          <w:rFonts w:asciiTheme="minorHAnsi" w:hAnsiTheme="minorHAnsi"/>
          <w:color w:val="auto"/>
          <w:sz w:val="24"/>
          <w:szCs w:val="24"/>
        </w:rPr>
      </w:pPr>
      <w:r w:rsidRPr="00FC2FF3">
        <w:rPr>
          <w:rFonts w:asciiTheme="minorHAnsi" w:hAnsiTheme="minorHAnsi"/>
          <w:color w:val="auto"/>
          <w:sz w:val="24"/>
          <w:szCs w:val="24"/>
        </w:rPr>
        <w:t>Commitments represent goods/services that have been ordered, but for which no delivery has taken place at the reporting date. These amounts are not recognised in the Statement of Financial Position as a liability or as expenditure in the Statement of Financial Performance, however are disclosed as part of the disclosure notes</w:t>
      </w:r>
      <w:r w:rsidR="00FC2FF3">
        <w:rPr>
          <w:rFonts w:asciiTheme="minorHAnsi" w:hAnsiTheme="minorHAnsi"/>
          <w:color w:val="auto"/>
          <w:sz w:val="24"/>
          <w:szCs w:val="24"/>
        </w:rPr>
        <w:t>.</w:t>
      </w:r>
    </w:p>
    <w:p w:rsidR="00DF3ACF" w:rsidRPr="00FC2FF3" w:rsidRDefault="00DF3ACF" w:rsidP="00FC2FF3">
      <w:pPr>
        <w:pStyle w:val="Heading2"/>
        <w:numPr>
          <w:ilvl w:val="0"/>
          <w:numId w:val="0"/>
        </w:numPr>
        <w:ind w:left="567"/>
        <w:rPr>
          <w:rFonts w:asciiTheme="minorHAnsi" w:hAnsiTheme="minorHAnsi"/>
          <w:color w:val="auto"/>
          <w:sz w:val="24"/>
          <w:szCs w:val="24"/>
        </w:rPr>
      </w:pPr>
    </w:p>
    <w:p w:rsidR="00464AE1" w:rsidRPr="00FC2FF3" w:rsidRDefault="00464AE1" w:rsidP="008A1668">
      <w:pPr>
        <w:pStyle w:val="Heading2"/>
        <w:numPr>
          <w:ilvl w:val="2"/>
          <w:numId w:val="16"/>
        </w:numPr>
        <w:rPr>
          <w:rFonts w:asciiTheme="minorHAnsi" w:hAnsiTheme="minorHAnsi"/>
          <w:color w:val="auto"/>
          <w:sz w:val="24"/>
          <w:szCs w:val="24"/>
        </w:rPr>
      </w:pPr>
      <w:r w:rsidRPr="00FC2FF3">
        <w:rPr>
          <w:rFonts w:asciiTheme="minorHAnsi" w:hAnsiTheme="minorHAnsi"/>
          <w:color w:val="auto"/>
          <w:sz w:val="24"/>
          <w:szCs w:val="24"/>
        </w:rPr>
        <w:t>Items are classified as commitments where the Municipality commits itself to future transaction that will normally result in the outflow of resources.</w:t>
      </w:r>
    </w:p>
    <w:p w:rsidR="00464AE1" w:rsidRPr="00FC2FF3" w:rsidRDefault="00464AE1" w:rsidP="008A1668">
      <w:pPr>
        <w:pStyle w:val="Heading2"/>
        <w:numPr>
          <w:ilvl w:val="0"/>
          <w:numId w:val="0"/>
        </w:numPr>
        <w:ind w:left="720"/>
        <w:rPr>
          <w:rFonts w:asciiTheme="minorHAnsi" w:hAnsiTheme="minorHAnsi"/>
          <w:color w:val="auto"/>
          <w:sz w:val="24"/>
          <w:szCs w:val="24"/>
        </w:rPr>
      </w:pPr>
    </w:p>
    <w:p w:rsidR="00464AE1" w:rsidRPr="00FC2FF3" w:rsidRDefault="00464AE1" w:rsidP="008A1668">
      <w:pPr>
        <w:pStyle w:val="Heading2"/>
        <w:numPr>
          <w:ilvl w:val="2"/>
          <w:numId w:val="16"/>
        </w:numPr>
        <w:rPr>
          <w:rFonts w:asciiTheme="minorHAnsi" w:hAnsiTheme="minorHAnsi"/>
          <w:color w:val="auto"/>
          <w:sz w:val="24"/>
          <w:szCs w:val="24"/>
        </w:rPr>
      </w:pPr>
      <w:r w:rsidRPr="00FC2FF3">
        <w:rPr>
          <w:rFonts w:asciiTheme="minorHAnsi" w:hAnsiTheme="minorHAnsi"/>
          <w:color w:val="auto"/>
          <w:sz w:val="24"/>
          <w:szCs w:val="24"/>
        </w:rPr>
        <w:t>Contracts that are entered into before the reporting date, but for which the corresponding goods/services have not been received</w:t>
      </w:r>
      <w:r w:rsidR="00DF3ACF" w:rsidRPr="00FC2FF3">
        <w:rPr>
          <w:rFonts w:asciiTheme="minorHAnsi" w:hAnsiTheme="minorHAnsi"/>
          <w:color w:val="auto"/>
          <w:sz w:val="24"/>
          <w:szCs w:val="24"/>
        </w:rPr>
        <w:t xml:space="preserve"> are disclosed in the commitments disclosure note to the financial statements</w:t>
      </w:r>
    </w:p>
    <w:p w:rsidR="00DF3ACF" w:rsidRPr="00FC2FF3" w:rsidRDefault="00DF3ACF" w:rsidP="008A1668">
      <w:pPr>
        <w:pStyle w:val="Heading2"/>
        <w:numPr>
          <w:ilvl w:val="0"/>
          <w:numId w:val="0"/>
        </w:numPr>
        <w:ind w:left="720"/>
        <w:rPr>
          <w:rFonts w:asciiTheme="minorHAnsi" w:hAnsiTheme="minorHAnsi"/>
          <w:color w:val="auto"/>
          <w:sz w:val="24"/>
          <w:szCs w:val="24"/>
        </w:rPr>
      </w:pPr>
    </w:p>
    <w:p w:rsidR="00464AE1" w:rsidRPr="00FC2FF3" w:rsidRDefault="00464AE1" w:rsidP="008A1668">
      <w:pPr>
        <w:pStyle w:val="Heading2"/>
        <w:numPr>
          <w:ilvl w:val="2"/>
          <w:numId w:val="16"/>
        </w:numPr>
        <w:rPr>
          <w:rFonts w:asciiTheme="minorHAnsi" w:hAnsiTheme="minorHAnsi"/>
          <w:color w:val="auto"/>
          <w:sz w:val="24"/>
          <w:szCs w:val="24"/>
        </w:rPr>
      </w:pPr>
      <w:r w:rsidRPr="00FC2FF3">
        <w:rPr>
          <w:rFonts w:asciiTheme="minorHAnsi" w:hAnsiTheme="minorHAnsi"/>
          <w:color w:val="auto"/>
          <w:sz w:val="24"/>
          <w:szCs w:val="24"/>
        </w:rPr>
        <w:t xml:space="preserve">Material contracts entered into after the reporting date, but prior to the approval of the AFS must be disclosed under subsequent events as well as in the report of the Accounting Officer. </w:t>
      </w:r>
    </w:p>
    <w:p w:rsidR="00464AE1" w:rsidRPr="00FC2FF3" w:rsidRDefault="00464AE1" w:rsidP="00464AE1">
      <w:pPr>
        <w:pStyle w:val="ListParagraph"/>
        <w:rPr>
          <w:sz w:val="24"/>
          <w:szCs w:val="24"/>
        </w:rPr>
      </w:pPr>
    </w:p>
    <w:p w:rsidR="00464AE1" w:rsidRPr="00FC2FF3" w:rsidRDefault="00464AE1" w:rsidP="008A1668">
      <w:pPr>
        <w:pStyle w:val="Heading2"/>
        <w:numPr>
          <w:ilvl w:val="2"/>
          <w:numId w:val="16"/>
        </w:numPr>
        <w:rPr>
          <w:rFonts w:asciiTheme="minorHAnsi" w:hAnsiTheme="minorHAnsi"/>
          <w:color w:val="auto"/>
          <w:sz w:val="24"/>
          <w:szCs w:val="24"/>
        </w:rPr>
      </w:pPr>
      <w:r w:rsidRPr="008A1668">
        <w:rPr>
          <w:rFonts w:asciiTheme="minorHAnsi" w:hAnsiTheme="minorHAnsi"/>
          <w:color w:val="auto"/>
          <w:sz w:val="24"/>
          <w:szCs w:val="24"/>
        </w:rPr>
        <w:lastRenderedPageBreak/>
        <w:t>Other commitments</w:t>
      </w:r>
      <w:r w:rsidRPr="00FC2FF3">
        <w:rPr>
          <w:rFonts w:asciiTheme="minorHAnsi" w:hAnsiTheme="minorHAnsi"/>
          <w:color w:val="auto"/>
          <w:sz w:val="24"/>
          <w:szCs w:val="24"/>
        </w:rPr>
        <w:t xml:space="preserve"> for which disclosure is necessary to achieve a fair presentation should be disclosed in a note if </w:t>
      </w:r>
      <w:r w:rsidRPr="008A1668">
        <w:rPr>
          <w:rFonts w:asciiTheme="minorHAnsi" w:hAnsiTheme="minorHAnsi"/>
          <w:color w:val="auto"/>
          <w:sz w:val="24"/>
          <w:szCs w:val="24"/>
        </w:rPr>
        <w:t>both</w:t>
      </w:r>
      <w:r w:rsidRPr="00FC2FF3">
        <w:rPr>
          <w:rFonts w:asciiTheme="minorHAnsi" w:hAnsiTheme="minorHAnsi"/>
          <w:color w:val="auto"/>
          <w:sz w:val="24"/>
          <w:szCs w:val="24"/>
        </w:rPr>
        <w:t xml:space="preserve"> the following criteria are met:</w:t>
      </w:r>
    </w:p>
    <w:p w:rsidR="00464AE1" w:rsidRPr="00FC2FF3" w:rsidRDefault="00464AE1" w:rsidP="008A1668">
      <w:pPr>
        <w:pStyle w:val="Heading2"/>
        <w:numPr>
          <w:ilvl w:val="0"/>
          <w:numId w:val="0"/>
        </w:numPr>
        <w:ind w:left="720"/>
        <w:rPr>
          <w:rFonts w:asciiTheme="minorHAnsi" w:hAnsiTheme="minorHAnsi"/>
          <w:color w:val="auto"/>
          <w:sz w:val="24"/>
          <w:szCs w:val="24"/>
        </w:rPr>
      </w:pPr>
    </w:p>
    <w:p w:rsidR="00464AE1" w:rsidRPr="00FC2FF3" w:rsidRDefault="0047077C" w:rsidP="008A1668">
      <w:pPr>
        <w:pStyle w:val="Heading2"/>
        <w:numPr>
          <w:ilvl w:val="2"/>
          <w:numId w:val="16"/>
        </w:numPr>
        <w:rPr>
          <w:rFonts w:asciiTheme="minorHAnsi" w:hAnsiTheme="minorHAnsi"/>
          <w:color w:val="auto"/>
          <w:sz w:val="24"/>
          <w:szCs w:val="24"/>
        </w:rPr>
      </w:pPr>
      <w:r w:rsidRPr="00FC2FF3">
        <w:rPr>
          <w:rFonts w:asciiTheme="minorHAnsi" w:hAnsiTheme="minorHAnsi"/>
          <w:color w:val="auto"/>
          <w:sz w:val="24"/>
          <w:szCs w:val="24"/>
        </w:rPr>
        <w:t xml:space="preserve">Contracts </w:t>
      </w:r>
      <w:r w:rsidR="00EF1A8A" w:rsidRPr="00FC2FF3">
        <w:rPr>
          <w:rFonts w:asciiTheme="minorHAnsi" w:hAnsiTheme="minorHAnsi"/>
          <w:color w:val="auto"/>
          <w:sz w:val="24"/>
          <w:szCs w:val="24"/>
        </w:rPr>
        <w:t>should</w:t>
      </w:r>
      <w:r w:rsidRPr="00FC2FF3">
        <w:rPr>
          <w:rFonts w:asciiTheme="minorHAnsi" w:hAnsiTheme="minorHAnsi"/>
          <w:color w:val="auto"/>
          <w:sz w:val="24"/>
          <w:szCs w:val="24"/>
        </w:rPr>
        <w:t xml:space="preserve"> be non-cancellable or only cancellable at significant cost</w:t>
      </w:r>
      <w:r w:rsidR="00EF1A8A" w:rsidRPr="00FC2FF3">
        <w:rPr>
          <w:rFonts w:asciiTheme="minorHAnsi" w:hAnsiTheme="minorHAnsi"/>
          <w:color w:val="auto"/>
          <w:sz w:val="24"/>
          <w:szCs w:val="24"/>
        </w:rPr>
        <w:t xml:space="preserve"> (for example, contracts for computer or building maintenance services)</w:t>
      </w:r>
      <w:r w:rsidRPr="00FC2FF3">
        <w:rPr>
          <w:rFonts w:asciiTheme="minorHAnsi" w:hAnsiTheme="minorHAnsi"/>
          <w:color w:val="auto"/>
          <w:sz w:val="24"/>
          <w:szCs w:val="24"/>
        </w:rPr>
        <w:t xml:space="preserve">, </w:t>
      </w:r>
      <w:r w:rsidRPr="008A1668">
        <w:rPr>
          <w:rFonts w:asciiTheme="minorHAnsi" w:hAnsiTheme="minorHAnsi"/>
          <w:color w:val="auto"/>
          <w:sz w:val="24"/>
          <w:szCs w:val="24"/>
        </w:rPr>
        <w:t>and</w:t>
      </w:r>
    </w:p>
    <w:p w:rsidR="0047077C" w:rsidRPr="00FC2FF3" w:rsidRDefault="0047077C" w:rsidP="008A1668">
      <w:pPr>
        <w:pStyle w:val="Heading2"/>
        <w:numPr>
          <w:ilvl w:val="0"/>
          <w:numId w:val="0"/>
        </w:numPr>
        <w:ind w:left="720"/>
        <w:rPr>
          <w:rFonts w:asciiTheme="minorHAnsi" w:hAnsiTheme="minorHAnsi"/>
          <w:color w:val="auto"/>
          <w:sz w:val="24"/>
          <w:szCs w:val="24"/>
        </w:rPr>
      </w:pPr>
    </w:p>
    <w:p w:rsidR="0047077C" w:rsidRPr="00FC2FF3" w:rsidRDefault="0047077C" w:rsidP="008A1668">
      <w:pPr>
        <w:pStyle w:val="Heading2"/>
        <w:numPr>
          <w:ilvl w:val="2"/>
          <w:numId w:val="16"/>
        </w:numPr>
        <w:rPr>
          <w:rFonts w:asciiTheme="minorHAnsi" w:hAnsiTheme="minorHAnsi"/>
          <w:color w:val="auto"/>
          <w:sz w:val="24"/>
          <w:szCs w:val="24"/>
        </w:rPr>
      </w:pPr>
      <w:r w:rsidRPr="00FC2FF3">
        <w:rPr>
          <w:rFonts w:asciiTheme="minorHAnsi" w:hAnsiTheme="minorHAnsi"/>
          <w:color w:val="auto"/>
          <w:sz w:val="24"/>
          <w:szCs w:val="24"/>
        </w:rPr>
        <w:t xml:space="preserve">Contracts </w:t>
      </w:r>
      <w:r w:rsidR="00EF1A8A" w:rsidRPr="00FC2FF3">
        <w:rPr>
          <w:rFonts w:asciiTheme="minorHAnsi" w:hAnsiTheme="minorHAnsi"/>
          <w:color w:val="auto"/>
          <w:sz w:val="24"/>
          <w:szCs w:val="24"/>
        </w:rPr>
        <w:t xml:space="preserve">should relate to something other than the routine, business of the entity – therefore salary commitments relating to employment contracts or social security benefit commitments are excluded. </w:t>
      </w:r>
    </w:p>
    <w:p w:rsidR="00C419DA" w:rsidRDefault="00C419DA" w:rsidP="00C419DA">
      <w:pPr>
        <w:pStyle w:val="ListParagraph"/>
      </w:pPr>
    </w:p>
    <w:p w:rsidR="00C419DA" w:rsidRDefault="00C419DA" w:rsidP="00C419DA">
      <w:pPr>
        <w:pStyle w:val="Default"/>
      </w:pPr>
      <w:r>
        <w:t xml:space="preserve">The transaction cycle to demonstrate at which stage commitments should be disclosed in the AFS has been represented in tabular format below: </w:t>
      </w:r>
    </w:p>
    <w:p w:rsidR="003A72CB" w:rsidRDefault="003A72CB" w:rsidP="00C419DA">
      <w:pPr>
        <w:pStyle w:val="Default"/>
      </w:pPr>
    </w:p>
    <w:p w:rsidR="003A72CB" w:rsidRDefault="003A72CB" w:rsidP="00C419DA">
      <w:pPr>
        <w:pStyle w:val="Default"/>
      </w:pPr>
      <w:r>
        <w:t xml:space="preserve">Contracts exceeding </w:t>
      </w:r>
      <w:r w:rsidRPr="003A72CB">
        <w:rPr>
          <w:b/>
        </w:rPr>
        <w:t>R200 000</w:t>
      </w:r>
      <w:r>
        <w:t xml:space="preserve"> are obtained through a competitive bidding process.</w:t>
      </w:r>
    </w:p>
    <w:p w:rsidR="003A72CB" w:rsidRDefault="003A72CB" w:rsidP="00C419DA">
      <w:pPr>
        <w:pStyle w:val="Default"/>
      </w:pPr>
    </w:p>
    <w:tbl>
      <w:tblPr>
        <w:tblStyle w:val="TableGrid"/>
        <w:tblW w:w="0" w:type="auto"/>
        <w:tblLook w:val="04A0"/>
      </w:tblPr>
      <w:tblGrid>
        <w:gridCol w:w="1526"/>
        <w:gridCol w:w="1500"/>
        <w:gridCol w:w="1508"/>
        <w:gridCol w:w="1502"/>
        <w:gridCol w:w="1490"/>
        <w:gridCol w:w="1490"/>
      </w:tblGrid>
      <w:tr w:rsidR="003A72CB" w:rsidRPr="006E262B" w:rsidTr="003A72CB">
        <w:tc>
          <w:tcPr>
            <w:tcW w:w="1526" w:type="dxa"/>
          </w:tcPr>
          <w:p w:rsidR="003A72CB" w:rsidRPr="006E262B" w:rsidRDefault="003A72CB" w:rsidP="00C419DA">
            <w:pPr>
              <w:pStyle w:val="Default"/>
              <w:rPr>
                <w:b/>
                <w:sz w:val="19"/>
                <w:szCs w:val="19"/>
              </w:rPr>
            </w:pPr>
            <w:r w:rsidRPr="006E262B">
              <w:rPr>
                <w:b/>
                <w:sz w:val="19"/>
                <w:szCs w:val="19"/>
              </w:rPr>
              <w:t>Stage</w:t>
            </w:r>
          </w:p>
        </w:tc>
        <w:tc>
          <w:tcPr>
            <w:tcW w:w="1500" w:type="dxa"/>
          </w:tcPr>
          <w:p w:rsidR="003A72CB" w:rsidRPr="006E262B" w:rsidRDefault="003A72CB" w:rsidP="00C419DA">
            <w:pPr>
              <w:pStyle w:val="Default"/>
              <w:rPr>
                <w:sz w:val="19"/>
                <w:szCs w:val="19"/>
              </w:rPr>
            </w:pPr>
            <w:r w:rsidRPr="006E262B">
              <w:rPr>
                <w:sz w:val="19"/>
                <w:szCs w:val="19"/>
              </w:rPr>
              <w:t>Decision to put contract to tender</w:t>
            </w:r>
          </w:p>
        </w:tc>
        <w:tc>
          <w:tcPr>
            <w:tcW w:w="1508" w:type="dxa"/>
            <w:shd w:val="clear" w:color="auto" w:fill="00B050"/>
          </w:tcPr>
          <w:p w:rsidR="003A72CB" w:rsidRPr="006E262B" w:rsidRDefault="003A72CB" w:rsidP="00C419DA">
            <w:pPr>
              <w:pStyle w:val="Default"/>
              <w:rPr>
                <w:sz w:val="19"/>
                <w:szCs w:val="19"/>
              </w:rPr>
            </w:pPr>
            <w:r w:rsidRPr="006E262B">
              <w:rPr>
                <w:sz w:val="19"/>
                <w:szCs w:val="19"/>
              </w:rPr>
              <w:t>Contract accepted and signed</w:t>
            </w:r>
          </w:p>
        </w:tc>
        <w:tc>
          <w:tcPr>
            <w:tcW w:w="2992" w:type="dxa"/>
            <w:gridSpan w:val="2"/>
          </w:tcPr>
          <w:p w:rsidR="003A72CB" w:rsidRPr="006E262B" w:rsidRDefault="003A72CB" w:rsidP="00C419DA">
            <w:pPr>
              <w:pStyle w:val="Default"/>
              <w:rPr>
                <w:sz w:val="19"/>
                <w:szCs w:val="19"/>
              </w:rPr>
            </w:pPr>
            <w:r w:rsidRPr="006E262B">
              <w:rPr>
                <w:sz w:val="19"/>
                <w:szCs w:val="19"/>
              </w:rPr>
              <w:t xml:space="preserve">Contract work commences </w:t>
            </w:r>
          </w:p>
        </w:tc>
        <w:tc>
          <w:tcPr>
            <w:tcW w:w="1490" w:type="dxa"/>
          </w:tcPr>
          <w:p w:rsidR="003A72CB" w:rsidRPr="006E262B" w:rsidRDefault="003A72CB" w:rsidP="00C419DA">
            <w:pPr>
              <w:pStyle w:val="Default"/>
              <w:rPr>
                <w:sz w:val="19"/>
                <w:szCs w:val="19"/>
              </w:rPr>
            </w:pPr>
            <w:r w:rsidRPr="006E262B">
              <w:rPr>
                <w:sz w:val="19"/>
                <w:szCs w:val="19"/>
              </w:rPr>
              <w:t>Payment made</w:t>
            </w:r>
          </w:p>
        </w:tc>
      </w:tr>
      <w:tr w:rsidR="003A72CB" w:rsidRPr="006E262B" w:rsidTr="003A72CB">
        <w:tc>
          <w:tcPr>
            <w:tcW w:w="1526" w:type="dxa"/>
          </w:tcPr>
          <w:p w:rsidR="003A72CB" w:rsidRPr="006E262B" w:rsidRDefault="003A72CB" w:rsidP="00C419DA">
            <w:pPr>
              <w:pStyle w:val="Default"/>
              <w:rPr>
                <w:b/>
                <w:sz w:val="19"/>
                <w:szCs w:val="19"/>
              </w:rPr>
            </w:pPr>
            <w:r w:rsidRPr="006E262B">
              <w:rPr>
                <w:b/>
                <w:sz w:val="19"/>
                <w:szCs w:val="19"/>
              </w:rPr>
              <w:t>Classification</w:t>
            </w:r>
          </w:p>
        </w:tc>
        <w:tc>
          <w:tcPr>
            <w:tcW w:w="1500" w:type="dxa"/>
          </w:tcPr>
          <w:p w:rsidR="003A72CB" w:rsidRPr="006E262B" w:rsidRDefault="003A72CB" w:rsidP="00C419DA">
            <w:pPr>
              <w:pStyle w:val="Default"/>
              <w:rPr>
                <w:sz w:val="19"/>
                <w:szCs w:val="19"/>
              </w:rPr>
            </w:pPr>
            <w:r w:rsidRPr="006E262B">
              <w:rPr>
                <w:sz w:val="19"/>
                <w:szCs w:val="19"/>
              </w:rPr>
              <w:t>No recognition / No disclosure</w:t>
            </w:r>
          </w:p>
        </w:tc>
        <w:tc>
          <w:tcPr>
            <w:tcW w:w="1508" w:type="dxa"/>
            <w:shd w:val="clear" w:color="auto" w:fill="00B050"/>
          </w:tcPr>
          <w:p w:rsidR="003A72CB" w:rsidRPr="006E262B" w:rsidRDefault="003A72CB" w:rsidP="00C419DA">
            <w:pPr>
              <w:pStyle w:val="Default"/>
              <w:rPr>
                <w:sz w:val="19"/>
                <w:szCs w:val="19"/>
              </w:rPr>
            </w:pPr>
            <w:r w:rsidRPr="006E262B">
              <w:rPr>
                <w:sz w:val="19"/>
                <w:szCs w:val="19"/>
              </w:rPr>
              <w:t>Commitment</w:t>
            </w:r>
          </w:p>
        </w:tc>
        <w:tc>
          <w:tcPr>
            <w:tcW w:w="1502" w:type="dxa"/>
          </w:tcPr>
          <w:p w:rsidR="003A72CB" w:rsidRPr="006E262B" w:rsidRDefault="003A72CB" w:rsidP="00C419DA">
            <w:pPr>
              <w:pStyle w:val="Default"/>
              <w:rPr>
                <w:sz w:val="19"/>
                <w:szCs w:val="19"/>
              </w:rPr>
            </w:pPr>
            <w:r w:rsidRPr="006E262B">
              <w:rPr>
                <w:sz w:val="19"/>
                <w:szCs w:val="19"/>
              </w:rPr>
              <w:t>Liability for work performed</w:t>
            </w:r>
          </w:p>
        </w:tc>
        <w:tc>
          <w:tcPr>
            <w:tcW w:w="1490" w:type="dxa"/>
            <w:shd w:val="clear" w:color="auto" w:fill="00B050"/>
          </w:tcPr>
          <w:p w:rsidR="003A72CB" w:rsidRPr="006E262B" w:rsidRDefault="003A72CB" w:rsidP="00C419DA">
            <w:pPr>
              <w:pStyle w:val="Default"/>
              <w:rPr>
                <w:sz w:val="19"/>
                <w:szCs w:val="19"/>
              </w:rPr>
            </w:pPr>
            <w:r w:rsidRPr="006E262B">
              <w:rPr>
                <w:sz w:val="19"/>
                <w:szCs w:val="19"/>
              </w:rPr>
              <w:t xml:space="preserve">Commitment for unperformed work </w:t>
            </w:r>
          </w:p>
        </w:tc>
        <w:tc>
          <w:tcPr>
            <w:tcW w:w="1490" w:type="dxa"/>
          </w:tcPr>
          <w:p w:rsidR="003A72CB" w:rsidRPr="006E262B" w:rsidRDefault="003A72CB" w:rsidP="00C419DA">
            <w:pPr>
              <w:pStyle w:val="Default"/>
              <w:rPr>
                <w:sz w:val="19"/>
                <w:szCs w:val="19"/>
              </w:rPr>
            </w:pPr>
            <w:r w:rsidRPr="006E262B">
              <w:rPr>
                <w:sz w:val="19"/>
                <w:szCs w:val="19"/>
              </w:rPr>
              <w:t xml:space="preserve">Settles the liability </w:t>
            </w:r>
          </w:p>
        </w:tc>
      </w:tr>
    </w:tbl>
    <w:p w:rsidR="003A72CB" w:rsidRPr="00464AE1" w:rsidRDefault="003A72CB" w:rsidP="00C419DA">
      <w:pPr>
        <w:pStyle w:val="Default"/>
      </w:pPr>
    </w:p>
    <w:p w:rsidR="00003C54" w:rsidRDefault="00151A2F" w:rsidP="00B877AC">
      <w:pPr>
        <w:pStyle w:val="Default"/>
      </w:pPr>
      <w:r>
        <w:t>The process depicted below is applicable to the purchase of Property, Plant and Equipment as well as Operational commitments:</w:t>
      </w:r>
    </w:p>
    <w:p w:rsidR="00151A2F" w:rsidRDefault="00151A2F" w:rsidP="00B877AC">
      <w:pPr>
        <w:pStyle w:val="Default"/>
      </w:pPr>
    </w:p>
    <w:tbl>
      <w:tblPr>
        <w:tblStyle w:val="TableGrid"/>
        <w:tblW w:w="0" w:type="auto"/>
        <w:tblLayout w:type="fixed"/>
        <w:tblLook w:val="04A0"/>
      </w:tblPr>
      <w:tblGrid>
        <w:gridCol w:w="1413"/>
        <w:gridCol w:w="1267"/>
        <w:gridCol w:w="1267"/>
        <w:gridCol w:w="1267"/>
        <w:gridCol w:w="1267"/>
        <w:gridCol w:w="1267"/>
        <w:gridCol w:w="1268"/>
      </w:tblGrid>
      <w:tr w:rsidR="006E262B" w:rsidRPr="006E262B" w:rsidTr="006E262B">
        <w:tc>
          <w:tcPr>
            <w:tcW w:w="1413" w:type="dxa"/>
          </w:tcPr>
          <w:p w:rsidR="006E262B" w:rsidRPr="006E262B" w:rsidRDefault="006E262B" w:rsidP="001F3FD4">
            <w:pPr>
              <w:pStyle w:val="Default"/>
              <w:rPr>
                <w:b/>
                <w:sz w:val="19"/>
                <w:szCs w:val="19"/>
              </w:rPr>
            </w:pPr>
            <w:r w:rsidRPr="006E262B">
              <w:rPr>
                <w:b/>
                <w:sz w:val="19"/>
                <w:szCs w:val="19"/>
              </w:rPr>
              <w:t>Stage</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Need has been identified</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Quotes Sourced</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Order placed</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Order accepted</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Goods delivered and accepted</w:t>
            </w:r>
          </w:p>
        </w:tc>
        <w:tc>
          <w:tcPr>
            <w:tcW w:w="1268" w:type="dxa"/>
            <w:shd w:val="clear" w:color="auto" w:fill="FFFFFF" w:themeFill="background1"/>
          </w:tcPr>
          <w:p w:rsidR="006E262B" w:rsidRPr="006E262B" w:rsidRDefault="006E262B" w:rsidP="001F3FD4">
            <w:pPr>
              <w:pStyle w:val="Default"/>
              <w:rPr>
                <w:sz w:val="19"/>
                <w:szCs w:val="19"/>
              </w:rPr>
            </w:pPr>
            <w:r w:rsidRPr="006E262B">
              <w:rPr>
                <w:sz w:val="19"/>
                <w:szCs w:val="19"/>
              </w:rPr>
              <w:t>Payment made</w:t>
            </w:r>
          </w:p>
        </w:tc>
      </w:tr>
      <w:tr w:rsidR="006E262B" w:rsidRPr="006E262B" w:rsidTr="006E262B">
        <w:tc>
          <w:tcPr>
            <w:tcW w:w="1413" w:type="dxa"/>
          </w:tcPr>
          <w:p w:rsidR="006E262B" w:rsidRPr="006E262B" w:rsidRDefault="006E262B" w:rsidP="001F3FD4">
            <w:pPr>
              <w:pStyle w:val="Default"/>
              <w:rPr>
                <w:b/>
                <w:sz w:val="19"/>
                <w:szCs w:val="19"/>
              </w:rPr>
            </w:pPr>
            <w:r w:rsidRPr="006E262B">
              <w:rPr>
                <w:b/>
                <w:sz w:val="19"/>
                <w:szCs w:val="19"/>
              </w:rPr>
              <w:t>Classification</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No recognition / No disclosure</w:t>
            </w:r>
          </w:p>
        </w:tc>
        <w:tc>
          <w:tcPr>
            <w:tcW w:w="1267" w:type="dxa"/>
            <w:shd w:val="clear" w:color="auto" w:fill="FFFFFF" w:themeFill="background1"/>
          </w:tcPr>
          <w:p w:rsidR="006E262B" w:rsidRPr="006E262B" w:rsidRDefault="006E262B" w:rsidP="001F3FD4">
            <w:pPr>
              <w:pStyle w:val="Default"/>
              <w:rPr>
                <w:sz w:val="19"/>
                <w:szCs w:val="19"/>
              </w:rPr>
            </w:pPr>
            <w:r w:rsidRPr="006E262B">
              <w:rPr>
                <w:sz w:val="19"/>
                <w:szCs w:val="19"/>
              </w:rPr>
              <w:t xml:space="preserve">No recognition / No disclosure </w:t>
            </w:r>
          </w:p>
        </w:tc>
        <w:tc>
          <w:tcPr>
            <w:tcW w:w="1267" w:type="dxa"/>
            <w:shd w:val="clear" w:color="auto" w:fill="00B050"/>
          </w:tcPr>
          <w:p w:rsidR="006E262B" w:rsidRPr="006E262B" w:rsidRDefault="006E262B" w:rsidP="001F3FD4">
            <w:pPr>
              <w:pStyle w:val="Default"/>
              <w:rPr>
                <w:sz w:val="19"/>
                <w:szCs w:val="19"/>
              </w:rPr>
            </w:pPr>
            <w:r w:rsidRPr="006E262B">
              <w:rPr>
                <w:sz w:val="19"/>
                <w:szCs w:val="19"/>
              </w:rPr>
              <w:t>Commitment</w:t>
            </w:r>
          </w:p>
        </w:tc>
        <w:tc>
          <w:tcPr>
            <w:tcW w:w="1267" w:type="dxa"/>
            <w:shd w:val="clear" w:color="auto" w:fill="00B050"/>
          </w:tcPr>
          <w:p w:rsidR="006E262B" w:rsidRPr="006E262B" w:rsidRDefault="006E262B" w:rsidP="001F3FD4">
            <w:pPr>
              <w:pStyle w:val="Default"/>
              <w:rPr>
                <w:sz w:val="19"/>
                <w:szCs w:val="19"/>
              </w:rPr>
            </w:pPr>
            <w:r w:rsidRPr="006E262B">
              <w:rPr>
                <w:sz w:val="19"/>
                <w:szCs w:val="19"/>
              </w:rPr>
              <w:t>Commitment</w:t>
            </w:r>
          </w:p>
        </w:tc>
        <w:tc>
          <w:tcPr>
            <w:tcW w:w="1267" w:type="dxa"/>
            <w:shd w:val="clear" w:color="auto" w:fill="auto"/>
          </w:tcPr>
          <w:p w:rsidR="006E262B" w:rsidRPr="006E262B" w:rsidRDefault="006E262B" w:rsidP="001F3FD4">
            <w:pPr>
              <w:pStyle w:val="Default"/>
              <w:rPr>
                <w:sz w:val="19"/>
                <w:szCs w:val="19"/>
              </w:rPr>
            </w:pPr>
            <w:r w:rsidRPr="006E262B">
              <w:rPr>
                <w:sz w:val="19"/>
                <w:szCs w:val="19"/>
              </w:rPr>
              <w:t xml:space="preserve">Liability </w:t>
            </w:r>
          </w:p>
        </w:tc>
        <w:tc>
          <w:tcPr>
            <w:tcW w:w="1268" w:type="dxa"/>
          </w:tcPr>
          <w:p w:rsidR="006E262B" w:rsidRPr="006E262B" w:rsidRDefault="006E262B" w:rsidP="001F3FD4">
            <w:pPr>
              <w:pStyle w:val="Default"/>
              <w:rPr>
                <w:sz w:val="19"/>
                <w:szCs w:val="19"/>
              </w:rPr>
            </w:pPr>
            <w:r w:rsidRPr="006E262B">
              <w:rPr>
                <w:sz w:val="19"/>
                <w:szCs w:val="19"/>
              </w:rPr>
              <w:t xml:space="preserve">Settles the liability </w:t>
            </w:r>
          </w:p>
        </w:tc>
      </w:tr>
    </w:tbl>
    <w:p w:rsidR="00151A2F" w:rsidRDefault="00151A2F" w:rsidP="00B877AC">
      <w:pPr>
        <w:pStyle w:val="Default"/>
      </w:pPr>
    </w:p>
    <w:p w:rsidR="00003C54" w:rsidRDefault="00003C54" w:rsidP="00B877AC">
      <w:pPr>
        <w:pStyle w:val="Default"/>
      </w:pPr>
    </w:p>
    <w:p w:rsidR="00003C54" w:rsidRPr="00133267" w:rsidRDefault="001125E9" w:rsidP="00D55D4C">
      <w:pPr>
        <w:pStyle w:val="Heading1"/>
        <w:rPr>
          <w:rFonts w:asciiTheme="minorHAnsi" w:hAnsiTheme="minorHAnsi"/>
          <w:b/>
          <w:color w:val="auto"/>
        </w:rPr>
      </w:pPr>
      <w:r w:rsidRPr="00133267">
        <w:rPr>
          <w:rFonts w:asciiTheme="minorHAnsi" w:hAnsiTheme="minorHAnsi"/>
          <w:b/>
          <w:color w:val="auto"/>
        </w:rPr>
        <w:t>General Disclosure Requirements of Commitments</w:t>
      </w:r>
    </w:p>
    <w:p w:rsidR="001125E9" w:rsidRDefault="001125E9" w:rsidP="001125E9">
      <w:pPr>
        <w:pStyle w:val="Default"/>
        <w:ind w:left="360"/>
        <w:rPr>
          <w:b/>
        </w:rPr>
      </w:pPr>
    </w:p>
    <w:p w:rsidR="001125E9" w:rsidRDefault="003C6945" w:rsidP="001125E9">
      <w:pPr>
        <w:pStyle w:val="Default"/>
        <w:ind w:left="360"/>
        <w:rPr>
          <w:b/>
        </w:rPr>
      </w:pPr>
      <w:r>
        <w:rPr>
          <w:b/>
        </w:rPr>
        <w:t>a.</w:t>
      </w:r>
      <w:r w:rsidR="001125E9">
        <w:rPr>
          <w:b/>
        </w:rPr>
        <w:t xml:space="preserve"> Notes to the Financial Statements</w:t>
      </w:r>
    </w:p>
    <w:p w:rsidR="001125E9" w:rsidRDefault="001125E9" w:rsidP="001125E9">
      <w:pPr>
        <w:pStyle w:val="Default"/>
      </w:pPr>
    </w:p>
    <w:p w:rsidR="001125E9" w:rsidRDefault="001125E9" w:rsidP="001125E9">
      <w:pPr>
        <w:pStyle w:val="Default"/>
      </w:pPr>
      <w:r>
        <w:t>As a minimum, the following should be disclosed in the notes to the Financial Statements for commitments:</w:t>
      </w:r>
    </w:p>
    <w:p w:rsidR="001125E9" w:rsidRDefault="001125E9" w:rsidP="00133267">
      <w:pPr>
        <w:pStyle w:val="Heading2"/>
        <w:numPr>
          <w:ilvl w:val="0"/>
          <w:numId w:val="0"/>
        </w:numPr>
        <w:ind w:left="567"/>
      </w:pPr>
    </w:p>
    <w:p w:rsidR="008A1668" w:rsidRPr="008A1668" w:rsidRDefault="008A1668" w:rsidP="008A1668">
      <w:pPr>
        <w:pStyle w:val="ListParagraph"/>
        <w:keepNext/>
        <w:keepLines/>
        <w:numPr>
          <w:ilvl w:val="0"/>
          <w:numId w:val="14"/>
        </w:numPr>
        <w:spacing w:before="40" w:after="0"/>
        <w:contextualSpacing w:val="0"/>
        <w:outlineLvl w:val="1"/>
        <w:rPr>
          <w:rFonts w:eastAsiaTheme="majorEastAsia" w:cstheme="majorBidi"/>
          <w:vanish/>
          <w:sz w:val="24"/>
          <w:szCs w:val="24"/>
        </w:rPr>
      </w:pPr>
    </w:p>
    <w:p w:rsidR="008A1668" w:rsidRPr="008A1668" w:rsidRDefault="008A1668" w:rsidP="008A1668">
      <w:pPr>
        <w:pStyle w:val="ListParagraph"/>
        <w:keepNext/>
        <w:keepLines/>
        <w:numPr>
          <w:ilvl w:val="0"/>
          <w:numId w:val="14"/>
        </w:numPr>
        <w:spacing w:before="40" w:after="0"/>
        <w:contextualSpacing w:val="0"/>
        <w:outlineLvl w:val="1"/>
        <w:rPr>
          <w:rFonts w:eastAsiaTheme="majorEastAsia" w:cstheme="majorBidi"/>
          <w:vanish/>
          <w:sz w:val="24"/>
          <w:szCs w:val="24"/>
        </w:rPr>
      </w:pPr>
    </w:p>
    <w:p w:rsidR="008A1668" w:rsidRPr="008A1668" w:rsidRDefault="008A1668" w:rsidP="008A1668">
      <w:pPr>
        <w:pStyle w:val="ListParagraph"/>
        <w:keepNext/>
        <w:keepLines/>
        <w:numPr>
          <w:ilvl w:val="0"/>
          <w:numId w:val="14"/>
        </w:numPr>
        <w:spacing w:before="40" w:after="0"/>
        <w:contextualSpacing w:val="0"/>
        <w:outlineLvl w:val="1"/>
        <w:rPr>
          <w:rFonts w:eastAsiaTheme="majorEastAsia" w:cstheme="majorBidi"/>
          <w:vanish/>
          <w:sz w:val="24"/>
          <w:szCs w:val="24"/>
        </w:rPr>
      </w:pPr>
    </w:p>
    <w:p w:rsidR="008A1668" w:rsidRPr="008A1668" w:rsidRDefault="008A1668" w:rsidP="008A1668">
      <w:pPr>
        <w:pStyle w:val="ListParagraph"/>
        <w:keepNext/>
        <w:keepLines/>
        <w:numPr>
          <w:ilvl w:val="0"/>
          <w:numId w:val="14"/>
        </w:numPr>
        <w:spacing w:before="40" w:after="0"/>
        <w:contextualSpacing w:val="0"/>
        <w:outlineLvl w:val="1"/>
        <w:rPr>
          <w:rFonts w:eastAsiaTheme="majorEastAsia" w:cstheme="majorBidi"/>
          <w:vanish/>
          <w:sz w:val="24"/>
          <w:szCs w:val="24"/>
        </w:rPr>
      </w:pPr>
    </w:p>
    <w:p w:rsidR="008A1668" w:rsidRPr="008A1668" w:rsidRDefault="008A1668" w:rsidP="008A1668">
      <w:pPr>
        <w:pStyle w:val="ListParagraph"/>
        <w:keepNext/>
        <w:keepLines/>
        <w:numPr>
          <w:ilvl w:val="0"/>
          <w:numId w:val="14"/>
        </w:numPr>
        <w:spacing w:before="40" w:after="0"/>
        <w:contextualSpacing w:val="0"/>
        <w:outlineLvl w:val="1"/>
        <w:rPr>
          <w:rFonts w:eastAsiaTheme="majorEastAsia" w:cstheme="majorBidi"/>
          <w:vanish/>
          <w:sz w:val="24"/>
          <w:szCs w:val="24"/>
        </w:rPr>
      </w:pPr>
    </w:p>
    <w:p w:rsidR="008A1668" w:rsidRPr="008A1668" w:rsidRDefault="008A1668" w:rsidP="008A1668">
      <w:pPr>
        <w:pStyle w:val="ListParagraph"/>
        <w:keepNext/>
        <w:keepLines/>
        <w:numPr>
          <w:ilvl w:val="0"/>
          <w:numId w:val="14"/>
        </w:numPr>
        <w:spacing w:before="40" w:after="0"/>
        <w:contextualSpacing w:val="0"/>
        <w:outlineLvl w:val="1"/>
        <w:rPr>
          <w:rFonts w:eastAsiaTheme="majorEastAsia" w:cstheme="majorBidi"/>
          <w:vanish/>
          <w:sz w:val="24"/>
          <w:szCs w:val="24"/>
        </w:rPr>
      </w:pPr>
    </w:p>
    <w:p w:rsidR="008A1668" w:rsidRPr="008A1668" w:rsidRDefault="008A1668" w:rsidP="008A1668">
      <w:pPr>
        <w:pStyle w:val="ListParagraph"/>
        <w:keepNext/>
        <w:keepLines/>
        <w:numPr>
          <w:ilvl w:val="1"/>
          <w:numId w:val="14"/>
        </w:numPr>
        <w:spacing w:before="40" w:after="0"/>
        <w:contextualSpacing w:val="0"/>
        <w:outlineLvl w:val="1"/>
        <w:rPr>
          <w:rFonts w:eastAsiaTheme="majorEastAsia" w:cstheme="majorBidi"/>
          <w:vanish/>
          <w:sz w:val="24"/>
          <w:szCs w:val="24"/>
        </w:rPr>
      </w:pPr>
    </w:p>
    <w:p w:rsidR="001125E9" w:rsidRPr="00133267" w:rsidRDefault="001125E9" w:rsidP="008A1668">
      <w:pPr>
        <w:pStyle w:val="Heading2"/>
        <w:numPr>
          <w:ilvl w:val="2"/>
          <w:numId w:val="14"/>
        </w:numPr>
        <w:rPr>
          <w:rFonts w:asciiTheme="minorHAnsi" w:hAnsiTheme="minorHAnsi"/>
          <w:color w:val="auto"/>
          <w:sz w:val="24"/>
          <w:szCs w:val="24"/>
        </w:rPr>
      </w:pPr>
      <w:r w:rsidRPr="00133267">
        <w:rPr>
          <w:rFonts w:asciiTheme="minorHAnsi" w:hAnsiTheme="minorHAnsi"/>
          <w:color w:val="auto"/>
          <w:sz w:val="24"/>
          <w:szCs w:val="24"/>
        </w:rPr>
        <w:t>A distinction should be made between Capital and Operational commitments</w:t>
      </w:r>
    </w:p>
    <w:p w:rsidR="001125E9" w:rsidRPr="00133267" w:rsidRDefault="001125E9" w:rsidP="00133267">
      <w:pPr>
        <w:pStyle w:val="Heading2"/>
        <w:numPr>
          <w:ilvl w:val="0"/>
          <w:numId w:val="0"/>
        </w:numPr>
        <w:ind w:left="567"/>
        <w:rPr>
          <w:rFonts w:asciiTheme="minorHAnsi" w:hAnsiTheme="minorHAnsi"/>
          <w:color w:val="auto"/>
          <w:sz w:val="24"/>
          <w:szCs w:val="24"/>
        </w:rPr>
      </w:pPr>
    </w:p>
    <w:p w:rsidR="001125E9" w:rsidRPr="00133267" w:rsidRDefault="001125E9" w:rsidP="00133267">
      <w:pPr>
        <w:pStyle w:val="Heading2"/>
        <w:numPr>
          <w:ilvl w:val="2"/>
          <w:numId w:val="14"/>
        </w:numPr>
        <w:rPr>
          <w:rFonts w:asciiTheme="minorHAnsi" w:hAnsiTheme="minorHAnsi"/>
          <w:color w:val="auto"/>
          <w:sz w:val="24"/>
          <w:szCs w:val="24"/>
        </w:rPr>
      </w:pPr>
      <w:r w:rsidRPr="00133267">
        <w:rPr>
          <w:rFonts w:asciiTheme="minorHAnsi" w:hAnsiTheme="minorHAnsi"/>
          <w:color w:val="auto"/>
          <w:sz w:val="24"/>
          <w:szCs w:val="24"/>
        </w:rPr>
        <w:t xml:space="preserve">The aggregate amount of Capital and Operational expenditure approved and contracted for at the reporting date, to the extent that the amount has not been recorded in the Financial Statements </w:t>
      </w:r>
    </w:p>
    <w:p w:rsidR="001125E9" w:rsidRPr="00133267" w:rsidRDefault="001125E9" w:rsidP="00133267">
      <w:pPr>
        <w:pStyle w:val="Heading2"/>
        <w:numPr>
          <w:ilvl w:val="0"/>
          <w:numId w:val="0"/>
        </w:numPr>
        <w:ind w:left="720"/>
        <w:rPr>
          <w:rFonts w:asciiTheme="minorHAnsi" w:hAnsiTheme="minorHAnsi"/>
          <w:color w:val="auto"/>
          <w:sz w:val="24"/>
          <w:szCs w:val="24"/>
        </w:rPr>
      </w:pPr>
    </w:p>
    <w:p w:rsidR="001125E9" w:rsidRPr="00133267" w:rsidRDefault="001125E9" w:rsidP="00133267">
      <w:pPr>
        <w:pStyle w:val="Heading2"/>
        <w:numPr>
          <w:ilvl w:val="2"/>
          <w:numId w:val="14"/>
        </w:numPr>
        <w:rPr>
          <w:rFonts w:asciiTheme="minorHAnsi" w:hAnsiTheme="minorHAnsi"/>
          <w:color w:val="auto"/>
          <w:sz w:val="24"/>
          <w:szCs w:val="24"/>
        </w:rPr>
      </w:pPr>
      <w:r w:rsidRPr="00133267">
        <w:rPr>
          <w:rFonts w:asciiTheme="minorHAnsi" w:hAnsiTheme="minorHAnsi"/>
          <w:color w:val="auto"/>
          <w:sz w:val="24"/>
          <w:szCs w:val="24"/>
        </w:rPr>
        <w:t>If a commitment is for a period longer than 1 year, it should be stated in the note.</w:t>
      </w:r>
    </w:p>
    <w:p w:rsidR="001125E9" w:rsidRDefault="001125E9" w:rsidP="001125E9">
      <w:pPr>
        <w:pStyle w:val="Default"/>
        <w:rPr>
          <w:rFonts w:asciiTheme="minorHAnsi" w:hAnsiTheme="minorHAnsi" w:cstheme="minorBidi"/>
          <w:color w:val="auto"/>
          <w:sz w:val="22"/>
          <w:szCs w:val="22"/>
        </w:rPr>
      </w:pPr>
    </w:p>
    <w:p w:rsidR="001125E9" w:rsidRDefault="001125E9" w:rsidP="001125E9">
      <w:pPr>
        <w:pStyle w:val="Default"/>
      </w:pPr>
      <w:r w:rsidRPr="001125E9">
        <w:t xml:space="preserve">To ensure that there is no duplication, lease commitments are disclosed under a separate note. </w:t>
      </w:r>
    </w:p>
    <w:p w:rsidR="00223D6F" w:rsidRDefault="00223D6F" w:rsidP="001125E9">
      <w:pPr>
        <w:pStyle w:val="Default"/>
      </w:pPr>
    </w:p>
    <w:p w:rsidR="00223D6F" w:rsidRDefault="003C6945" w:rsidP="001125E9">
      <w:pPr>
        <w:pStyle w:val="Default"/>
        <w:rPr>
          <w:b/>
        </w:rPr>
      </w:pPr>
      <w:r>
        <w:rPr>
          <w:b/>
        </w:rPr>
        <w:t>b.</w:t>
      </w:r>
      <w:r w:rsidR="00223D6F">
        <w:rPr>
          <w:b/>
        </w:rPr>
        <w:t xml:space="preserve"> Contract / commitments register</w:t>
      </w:r>
    </w:p>
    <w:p w:rsidR="00223D6F" w:rsidRDefault="00223D6F" w:rsidP="001125E9">
      <w:pPr>
        <w:pStyle w:val="Default"/>
        <w:rPr>
          <w:b/>
        </w:rPr>
      </w:pPr>
    </w:p>
    <w:p w:rsidR="00223D6F" w:rsidRDefault="00223D6F" w:rsidP="001125E9">
      <w:pPr>
        <w:pStyle w:val="Default"/>
      </w:pPr>
      <w:r>
        <w:t>A capital contract register / commitments register shall be maintained by the Supply Chain Management Department. This register details the following information, essential for the calculation of commitments:</w:t>
      </w:r>
    </w:p>
    <w:p w:rsidR="00223D6F" w:rsidRDefault="00223D6F" w:rsidP="001125E9">
      <w:pPr>
        <w:pStyle w:val="Default"/>
      </w:pPr>
    </w:p>
    <w:p w:rsidR="00133267" w:rsidRPr="00133267" w:rsidRDefault="00133267" w:rsidP="00133267">
      <w:pPr>
        <w:pStyle w:val="ListParagraph"/>
        <w:keepNext/>
        <w:keepLines/>
        <w:numPr>
          <w:ilvl w:val="1"/>
          <w:numId w:val="16"/>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rsidR="00133267" w:rsidRPr="00133267" w:rsidRDefault="00133267" w:rsidP="00133267">
      <w:pPr>
        <w:pStyle w:val="ListParagraph"/>
        <w:keepNext/>
        <w:keepLines/>
        <w:numPr>
          <w:ilvl w:val="1"/>
          <w:numId w:val="16"/>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rsidR="00223D6F" w:rsidRPr="00133267" w:rsidRDefault="00223D6F" w:rsidP="00133267">
      <w:pPr>
        <w:pStyle w:val="Heading2"/>
        <w:numPr>
          <w:ilvl w:val="2"/>
          <w:numId w:val="16"/>
        </w:numPr>
        <w:rPr>
          <w:rFonts w:asciiTheme="minorHAnsi" w:hAnsiTheme="minorHAnsi"/>
          <w:color w:val="auto"/>
          <w:sz w:val="24"/>
          <w:szCs w:val="24"/>
        </w:rPr>
      </w:pPr>
      <w:r w:rsidRPr="00133267">
        <w:rPr>
          <w:rFonts w:asciiTheme="minorHAnsi" w:hAnsiTheme="minorHAnsi"/>
          <w:color w:val="auto"/>
          <w:sz w:val="24"/>
          <w:szCs w:val="24"/>
        </w:rPr>
        <w:t>The period of the tender awarded</w:t>
      </w:r>
    </w:p>
    <w:p w:rsidR="00223D6F" w:rsidRPr="00133267" w:rsidRDefault="00223D6F" w:rsidP="00133267">
      <w:pPr>
        <w:pStyle w:val="Heading2"/>
        <w:numPr>
          <w:ilvl w:val="2"/>
          <w:numId w:val="16"/>
        </w:numPr>
        <w:rPr>
          <w:rFonts w:asciiTheme="minorHAnsi" w:hAnsiTheme="minorHAnsi"/>
          <w:color w:val="auto"/>
          <w:sz w:val="24"/>
          <w:szCs w:val="24"/>
        </w:rPr>
      </w:pPr>
      <w:r w:rsidRPr="00133267">
        <w:rPr>
          <w:rFonts w:asciiTheme="minorHAnsi" w:hAnsiTheme="minorHAnsi"/>
          <w:color w:val="auto"/>
          <w:sz w:val="24"/>
          <w:szCs w:val="24"/>
        </w:rPr>
        <w:t>Original contract amount</w:t>
      </w:r>
    </w:p>
    <w:p w:rsidR="00223D6F" w:rsidRPr="00133267" w:rsidRDefault="00223D6F" w:rsidP="00133267">
      <w:pPr>
        <w:pStyle w:val="Heading2"/>
        <w:numPr>
          <w:ilvl w:val="2"/>
          <w:numId w:val="16"/>
        </w:numPr>
        <w:rPr>
          <w:rFonts w:asciiTheme="minorHAnsi" w:hAnsiTheme="minorHAnsi"/>
          <w:color w:val="auto"/>
          <w:sz w:val="24"/>
          <w:szCs w:val="24"/>
        </w:rPr>
      </w:pPr>
      <w:r w:rsidRPr="00133267">
        <w:rPr>
          <w:rFonts w:asciiTheme="minorHAnsi" w:hAnsiTheme="minorHAnsi"/>
          <w:color w:val="auto"/>
          <w:sz w:val="24"/>
          <w:szCs w:val="24"/>
        </w:rPr>
        <w:t>Amounts already paid pertaining to that tender/contract</w:t>
      </w:r>
    </w:p>
    <w:p w:rsidR="00223D6F" w:rsidRPr="00133267" w:rsidRDefault="00223D6F" w:rsidP="00133267">
      <w:pPr>
        <w:pStyle w:val="Heading2"/>
        <w:numPr>
          <w:ilvl w:val="2"/>
          <w:numId w:val="16"/>
        </w:numPr>
        <w:rPr>
          <w:rFonts w:asciiTheme="minorHAnsi" w:hAnsiTheme="minorHAnsi"/>
          <w:color w:val="auto"/>
          <w:sz w:val="24"/>
          <w:szCs w:val="24"/>
        </w:rPr>
      </w:pPr>
      <w:r w:rsidRPr="00133267">
        <w:rPr>
          <w:rFonts w:asciiTheme="minorHAnsi" w:hAnsiTheme="minorHAnsi"/>
          <w:color w:val="auto"/>
          <w:sz w:val="24"/>
          <w:szCs w:val="24"/>
        </w:rPr>
        <w:t>Amounts for which invoices have been received and which are therefore included in accruals and should be deducted from the commitment</w:t>
      </w:r>
    </w:p>
    <w:p w:rsidR="006F3CA3" w:rsidRPr="00133267" w:rsidRDefault="006F3CA3" w:rsidP="00133267">
      <w:pPr>
        <w:pStyle w:val="Heading2"/>
        <w:numPr>
          <w:ilvl w:val="2"/>
          <w:numId w:val="16"/>
        </w:numPr>
        <w:rPr>
          <w:rFonts w:asciiTheme="minorHAnsi" w:hAnsiTheme="minorHAnsi"/>
          <w:color w:val="auto"/>
          <w:sz w:val="24"/>
          <w:szCs w:val="24"/>
        </w:rPr>
      </w:pPr>
      <w:r w:rsidRPr="00133267">
        <w:rPr>
          <w:rFonts w:asciiTheme="minorHAnsi" w:hAnsiTheme="minorHAnsi"/>
          <w:color w:val="auto"/>
          <w:sz w:val="24"/>
          <w:szCs w:val="24"/>
        </w:rPr>
        <w:t>Commitments loaded on the procurement and contractors register system</w:t>
      </w:r>
    </w:p>
    <w:p w:rsidR="006F3CA3" w:rsidRPr="00133267" w:rsidRDefault="006F3CA3" w:rsidP="00133267">
      <w:pPr>
        <w:pStyle w:val="Heading2"/>
        <w:numPr>
          <w:ilvl w:val="2"/>
          <w:numId w:val="16"/>
        </w:numPr>
        <w:rPr>
          <w:rFonts w:asciiTheme="minorHAnsi" w:hAnsiTheme="minorHAnsi"/>
          <w:color w:val="auto"/>
          <w:sz w:val="24"/>
          <w:szCs w:val="24"/>
        </w:rPr>
      </w:pPr>
      <w:r w:rsidRPr="00133267">
        <w:rPr>
          <w:rFonts w:asciiTheme="minorHAnsi" w:hAnsiTheme="minorHAnsi"/>
          <w:color w:val="auto"/>
          <w:sz w:val="24"/>
          <w:szCs w:val="24"/>
        </w:rPr>
        <w:t>Commitments not loaded on the procurement and contracts register system</w:t>
      </w:r>
    </w:p>
    <w:p w:rsidR="00223D6F" w:rsidRDefault="00223D6F" w:rsidP="00223D6F">
      <w:pPr>
        <w:pStyle w:val="Default"/>
      </w:pPr>
    </w:p>
    <w:p w:rsidR="00223D6F" w:rsidRDefault="00223D6F" w:rsidP="00223D6F">
      <w:pPr>
        <w:pStyle w:val="Default"/>
      </w:pPr>
      <w:r>
        <w:t>In respect of current / operational contracts:</w:t>
      </w:r>
    </w:p>
    <w:p w:rsidR="00223D6F" w:rsidRDefault="00223D6F" w:rsidP="00223D6F">
      <w:pPr>
        <w:pStyle w:val="Default"/>
      </w:pPr>
    </w:p>
    <w:p w:rsidR="00223D6F" w:rsidRDefault="00223D6F" w:rsidP="00133267">
      <w:pPr>
        <w:pStyle w:val="Default"/>
      </w:pPr>
      <w:r>
        <w:t xml:space="preserve">Commitments loaded onto the Procurement System (SAP) of which Goods Received Notes have not yet been raised at the reporting date. </w:t>
      </w:r>
    </w:p>
    <w:p w:rsidR="00133267" w:rsidRDefault="00133267">
      <w:pPr>
        <w:rPr>
          <w:rFonts w:ascii="Calibri" w:hAnsi="Calibri" w:cs="Calibri"/>
          <w:color w:val="000000"/>
          <w:sz w:val="24"/>
          <w:szCs w:val="24"/>
        </w:rPr>
      </w:pPr>
      <w:r>
        <w:br w:type="page"/>
      </w:r>
    </w:p>
    <w:p w:rsidR="008656E8" w:rsidRDefault="008656E8" w:rsidP="008656E8">
      <w:pPr>
        <w:pStyle w:val="Default"/>
      </w:pPr>
    </w:p>
    <w:p w:rsidR="008656E8" w:rsidRPr="003C6945" w:rsidRDefault="003C6945" w:rsidP="008656E8">
      <w:pPr>
        <w:pStyle w:val="Default"/>
        <w:rPr>
          <w:b/>
        </w:rPr>
      </w:pPr>
      <w:r>
        <w:rPr>
          <w:b/>
        </w:rPr>
        <w:t xml:space="preserve">c. Disclosure Example </w:t>
      </w:r>
    </w:p>
    <w:p w:rsidR="008656E8" w:rsidRDefault="008656E8" w:rsidP="008656E8">
      <w:pPr>
        <w:pStyle w:val="Default"/>
        <w:rPr>
          <w:u w:val="single"/>
        </w:rPr>
      </w:pPr>
    </w:p>
    <w:p w:rsidR="008656E8" w:rsidRDefault="003C6945" w:rsidP="008656E8">
      <w:pPr>
        <w:pStyle w:val="Default"/>
        <w:rPr>
          <w:b/>
        </w:rPr>
      </w:pPr>
      <w:r>
        <w:rPr>
          <w:b/>
        </w:rPr>
        <w:t>NOTE FOR CURRENT AND CAPITAL COMMITMENTS</w:t>
      </w:r>
    </w:p>
    <w:p w:rsidR="003C6945" w:rsidRDefault="003C6945" w:rsidP="008656E8">
      <w:pPr>
        <w:pStyle w:val="Default"/>
        <w:rPr>
          <w:b/>
        </w:rPr>
      </w:pPr>
    </w:p>
    <w:p w:rsidR="003C6945" w:rsidRDefault="003C6945" w:rsidP="008656E8">
      <w:pPr>
        <w:pStyle w:val="Default"/>
        <w:rPr>
          <w:b/>
        </w:rPr>
      </w:pPr>
    </w:p>
    <w:tbl>
      <w:tblPr>
        <w:tblW w:w="5940" w:type="dxa"/>
        <w:tblLook w:val="04A0"/>
      </w:tblPr>
      <w:tblGrid>
        <w:gridCol w:w="3128"/>
        <w:gridCol w:w="534"/>
        <w:gridCol w:w="980"/>
        <w:gridCol w:w="318"/>
        <w:gridCol w:w="980"/>
      </w:tblGrid>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4"/>
                <w:szCs w:val="24"/>
                <w:lang w:eastAsia="en-ZA"/>
              </w:rPr>
            </w:pP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r w:rsidRPr="00BC0B9E">
              <w:rPr>
                <w:rFonts w:ascii="Calibri" w:eastAsia="Times New Roman" w:hAnsi="Calibri" w:cs="Times New Roman"/>
                <w:b/>
                <w:bCs/>
                <w:color w:val="000000"/>
                <w:lang w:eastAsia="en-ZA"/>
              </w:rPr>
              <w:t>2017/18</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r w:rsidRPr="00BC0B9E">
              <w:rPr>
                <w:rFonts w:ascii="Calibri" w:eastAsia="Times New Roman" w:hAnsi="Calibri" w:cs="Times New Roman"/>
                <w:b/>
                <w:bCs/>
                <w:color w:val="000000"/>
                <w:lang w:eastAsia="en-ZA"/>
              </w:rPr>
              <w:t>2016/17</w:t>
            </w: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r w:rsidRPr="00BC0B9E">
              <w:rPr>
                <w:rFonts w:ascii="Calibri" w:eastAsia="Times New Roman" w:hAnsi="Calibri" w:cs="Times New Roman"/>
                <w:b/>
                <w:bCs/>
                <w:color w:val="000000"/>
                <w:lang w:eastAsia="en-ZA"/>
              </w:rPr>
              <w:t>Current expenditure</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Approved and contracted</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6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Approved but not yet contracted</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315"/>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single" w:sz="8"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8"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r w:rsidRPr="00BC0B9E">
              <w:rPr>
                <w:rFonts w:ascii="Calibri" w:eastAsia="Times New Roman" w:hAnsi="Calibri" w:cs="Times New Roman"/>
                <w:b/>
                <w:bCs/>
                <w:color w:val="000000"/>
                <w:lang w:eastAsia="en-ZA"/>
              </w:rPr>
              <w:t>Capital expenditure</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Approved and contracted</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6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Approved but not yet contracted</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4"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315"/>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r w:rsidRPr="00BC0B9E">
              <w:rPr>
                <w:rFonts w:ascii="Calibri" w:eastAsia="Times New Roman" w:hAnsi="Calibri" w:cs="Times New Roman"/>
                <w:b/>
                <w:bCs/>
                <w:color w:val="000000"/>
                <w:lang w:eastAsia="en-ZA"/>
              </w:rPr>
              <w:t>Total commitments</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p>
        </w:tc>
        <w:tc>
          <w:tcPr>
            <w:tcW w:w="960" w:type="dxa"/>
            <w:tcBorders>
              <w:top w:val="nil"/>
              <w:left w:val="nil"/>
              <w:bottom w:val="single" w:sz="8"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single" w:sz="8"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600"/>
        </w:trPr>
        <w:tc>
          <w:tcPr>
            <w:tcW w:w="4660" w:type="dxa"/>
            <w:gridSpan w:val="3"/>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r w:rsidRPr="00BC0B9E">
              <w:rPr>
                <w:rFonts w:ascii="Calibri" w:eastAsia="Times New Roman" w:hAnsi="Calibri" w:cs="Times New Roman"/>
                <w:b/>
                <w:bCs/>
                <w:color w:val="000000"/>
                <w:lang w:eastAsia="en-ZA"/>
              </w:rPr>
              <w:t>The expenditure will be financed from:</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b/>
                <w:bCs/>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External Loans</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Capital Replacement Reserve</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Government Grants</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xml:space="preserve">Own Resources </w:t>
            </w: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r w:rsidR="00BC0B9E" w:rsidRPr="00BC0B9E" w:rsidTr="00BC0B9E">
        <w:trPr>
          <w:trHeight w:val="315"/>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single" w:sz="4" w:space="0" w:color="auto"/>
              <w:left w:val="nil"/>
              <w:bottom w:val="single" w:sz="8"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960" w:type="dxa"/>
            <w:tcBorders>
              <w:top w:val="single" w:sz="4" w:space="0" w:color="auto"/>
              <w:left w:val="nil"/>
              <w:bottom w:val="single" w:sz="8" w:space="0" w:color="auto"/>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r w:rsidRPr="00BC0B9E">
              <w:rPr>
                <w:rFonts w:ascii="Calibri" w:eastAsia="Times New Roman" w:hAnsi="Calibri" w:cs="Times New Roman"/>
                <w:color w:val="000000"/>
                <w:lang w:eastAsia="en-ZA"/>
              </w:rPr>
              <w:t> </w:t>
            </w:r>
          </w:p>
        </w:tc>
      </w:tr>
      <w:tr w:rsidR="00BC0B9E" w:rsidRPr="00BC0B9E" w:rsidTr="00BC0B9E">
        <w:trPr>
          <w:trHeight w:val="300"/>
        </w:trPr>
        <w:tc>
          <w:tcPr>
            <w:tcW w:w="31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Calibri" w:eastAsia="Times New Roman" w:hAnsi="Calibri" w:cs="Times New Roman"/>
                <w:color w:val="000000"/>
                <w:lang w:eastAsia="en-ZA"/>
              </w:rPr>
            </w:pPr>
          </w:p>
        </w:tc>
        <w:tc>
          <w:tcPr>
            <w:tcW w:w="54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32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vAlign w:val="center"/>
            <w:hideMark/>
          </w:tcPr>
          <w:p w:rsidR="00BC0B9E" w:rsidRPr="00BC0B9E" w:rsidRDefault="00BC0B9E" w:rsidP="00BC0B9E">
            <w:pPr>
              <w:spacing w:after="0" w:line="240" w:lineRule="auto"/>
              <w:rPr>
                <w:rFonts w:ascii="Times New Roman" w:eastAsia="Times New Roman" w:hAnsi="Times New Roman" w:cs="Times New Roman"/>
                <w:sz w:val="20"/>
                <w:szCs w:val="20"/>
                <w:lang w:eastAsia="en-ZA"/>
              </w:rPr>
            </w:pPr>
          </w:p>
        </w:tc>
      </w:tr>
    </w:tbl>
    <w:p w:rsidR="003C6945" w:rsidRDefault="003C6945" w:rsidP="008656E8">
      <w:pPr>
        <w:pStyle w:val="Default"/>
        <w:rPr>
          <w:b/>
        </w:rPr>
      </w:pPr>
    </w:p>
    <w:p w:rsidR="004652F9" w:rsidRPr="00D55D4C" w:rsidRDefault="004652F9" w:rsidP="00D55D4C">
      <w:pPr>
        <w:pStyle w:val="Heading1"/>
        <w:rPr>
          <w:b/>
          <w:color w:val="auto"/>
        </w:rPr>
      </w:pPr>
      <w:r w:rsidRPr="00D55D4C">
        <w:rPr>
          <w:b/>
          <w:color w:val="auto"/>
        </w:rPr>
        <w:t xml:space="preserve">Policy Implementation and Review </w:t>
      </w:r>
      <w:r w:rsidR="003C6945" w:rsidRPr="00D55D4C">
        <w:rPr>
          <w:b/>
          <w:color w:val="auto"/>
        </w:rPr>
        <w:tab/>
      </w:r>
    </w:p>
    <w:p w:rsidR="004652F9" w:rsidRDefault="004652F9" w:rsidP="004652F9">
      <w:r>
        <w:t>This policy is effective from xx</w:t>
      </w:r>
    </w:p>
    <w:p w:rsidR="004652F9" w:rsidRDefault="004652F9" w:rsidP="004652F9">
      <w:r>
        <w:t>This policy shall be reviewed on xx</w:t>
      </w:r>
    </w:p>
    <w:p w:rsidR="004652F9" w:rsidRDefault="004652F9" w:rsidP="004652F9"/>
    <w:p w:rsidR="004652F9" w:rsidRDefault="004652F9" w:rsidP="004652F9">
      <w:pPr>
        <w:rPr>
          <w:b/>
        </w:rPr>
      </w:pPr>
      <w:r>
        <w:rPr>
          <w:b/>
        </w:rPr>
        <w:t>Approved by:</w:t>
      </w:r>
    </w:p>
    <w:p w:rsidR="004652F9" w:rsidRDefault="004652F9" w:rsidP="004652F9">
      <w:pPr>
        <w:rPr>
          <w:b/>
        </w:rPr>
      </w:pPr>
    </w:p>
    <w:p w:rsidR="00F64587" w:rsidRPr="004652F9" w:rsidRDefault="004652F9" w:rsidP="004652F9">
      <w:pPr>
        <w:rPr>
          <w:b/>
        </w:rPr>
      </w:pPr>
      <w:r>
        <w:rPr>
          <w:b/>
        </w:rPr>
        <w:t xml:space="preserve">Date: </w:t>
      </w:r>
      <w:r w:rsidR="003C6945" w:rsidRPr="004652F9">
        <w:rPr>
          <w:b/>
        </w:rPr>
        <w:tab/>
      </w:r>
      <w:r w:rsidR="003C6945" w:rsidRPr="004652F9">
        <w:rPr>
          <w:b/>
        </w:rPr>
        <w:tab/>
      </w:r>
      <w:r w:rsidR="003C6945" w:rsidRPr="004652F9">
        <w:rPr>
          <w:b/>
        </w:rPr>
        <w:tab/>
      </w:r>
      <w:r w:rsidR="003C6945" w:rsidRPr="004652F9">
        <w:rPr>
          <w:b/>
        </w:rPr>
        <w:tab/>
      </w:r>
      <w:r w:rsidR="003C6945" w:rsidRPr="004652F9">
        <w:rPr>
          <w:b/>
        </w:rPr>
        <w:tab/>
      </w:r>
      <w:r w:rsidR="003C6945" w:rsidRPr="004652F9">
        <w:rPr>
          <w:b/>
        </w:rPr>
        <w:tab/>
      </w:r>
      <w:r w:rsidR="003C6945" w:rsidRPr="004652F9">
        <w:rPr>
          <w:b/>
        </w:rPr>
        <w:tab/>
      </w:r>
    </w:p>
    <w:sectPr w:rsidR="00F64587" w:rsidRPr="004652F9" w:rsidSect="00883E7C">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292" w:rsidRDefault="00A97292" w:rsidP="006A7011">
      <w:pPr>
        <w:spacing w:after="0" w:line="240" w:lineRule="auto"/>
      </w:pPr>
      <w:r>
        <w:separator/>
      </w:r>
    </w:p>
  </w:endnote>
  <w:endnote w:type="continuationSeparator" w:id="1">
    <w:p w:rsidR="00A97292" w:rsidRDefault="00A97292" w:rsidP="006A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9999999">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292" w:rsidRDefault="00A97292" w:rsidP="006A7011">
      <w:pPr>
        <w:spacing w:after="0" w:line="240" w:lineRule="auto"/>
      </w:pPr>
      <w:r>
        <w:separator/>
      </w:r>
    </w:p>
  </w:footnote>
  <w:footnote w:type="continuationSeparator" w:id="1">
    <w:p w:rsidR="00A97292" w:rsidRDefault="00A97292" w:rsidP="006A7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11" w:rsidRDefault="00883E7C">
    <w:pPr>
      <w:pStyle w:val="Header"/>
    </w:pPr>
    <w:r>
      <w:rPr>
        <w:noProof/>
        <w:lang w:eastAsia="en-ZA"/>
      </w:rPr>
      <w:pict>
        <v:shapetype id="_x0000_t202" coordsize="21600,21600" o:spt="202" path="m,l,21600r21600,l21600,xe">
          <v:stroke joinstyle="miter"/>
          <v:path gradientshapeok="t" o:connecttype="rect"/>
        </v:shapetype>
        <v:shape id="Text Box 2 KISDraft" o:spid="_x0000_s6147" type="#_x0000_t202" style="position:absolute;margin-left:0;margin-top:0;width:390.9pt;height:135.75pt;rotation:-45;z-index:-251653120;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" filled="f" stroked="f">
          <o:lock v:ext="edit" shapetype="t"/>
          <v:textbox style="mso-fit-shape-to-text:t">
            <w:txbxContent>
              <w:p w:rsidR="006A7011" w:rsidRDefault="006A7011">
                <w:pPr>
                  <w:pStyle w:val="Header"/>
                  <w:jc w:val="center"/>
                </w:pPr>
                <w:r>
                  <w:rPr>
                    <w:rFonts w:ascii="Arial Black" w:hAnsi="Arial Black"/>
                    <w:color w:val="DDDDDD"/>
                    <w:sz w:val="192"/>
                    <w:szCs w:val="192"/>
                  </w:rPr>
                  <w:t>DRAFT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11" w:rsidRDefault="00883E7C">
    <w:pPr>
      <w:pStyle w:val="Header"/>
    </w:pPr>
    <w:r>
      <w:rPr>
        <w:noProof/>
        <w:lang w:eastAsia="en-ZA"/>
      </w:rPr>
      <w:pict>
        <v:shapetype id="_x0000_t202" coordsize="21600,21600" o:spt="202" path="m,l,21600r21600,l21600,xe">
          <v:stroke joinstyle="miter"/>
          <v:path gradientshapeok="t" o:connecttype="rect"/>
        </v:shapetype>
        <v:shape id="Text Box 8 KISDraft" o:spid="_x0000_s6146" type="#_x0000_t202" style="position:absolute;margin-left:0;margin-top:0;width:390.9pt;height:135.75pt;rotation:-45;z-index:-251657216;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" filled="f" stroked="f">
          <o:lock v:ext="edit" shapetype="t"/>
          <v:textbox style="mso-fit-shape-to-text:t">
            <w:txbxContent>
              <w:p w:rsidR="006A7011" w:rsidRDefault="006A7011">
                <w:pPr>
                  <w:pStyle w:val="Header"/>
                  <w:jc w:val="center"/>
                </w:pPr>
                <w:r>
                  <w:rPr>
                    <w:rFonts w:ascii="Arial Black" w:hAnsi="Arial Black"/>
                    <w:color w:val="DDDDDD"/>
                    <w:sz w:val="192"/>
                    <w:szCs w:val="192"/>
                  </w:rPr>
                  <w:t>DRAFT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011" w:rsidRDefault="00883E7C">
    <w:pPr>
      <w:pStyle w:val="Header"/>
    </w:pPr>
    <w:r>
      <w:rPr>
        <w:noProof/>
        <w:lang w:eastAsia="en-ZA"/>
      </w:rPr>
      <w:pict>
        <v:shapetype id="_x0000_t202" coordsize="21600,21600" o:spt="202" path="m,l,21600r21600,l21600,xe">
          <v:stroke joinstyle="miter"/>
          <v:path gradientshapeok="t" o:connecttype="rect"/>
        </v:shapetype>
        <v:shape id="Text Box 1 KISDraft" o:spid="_x0000_s6145" type="#_x0000_t202" style="position:absolute;margin-left:0;margin-top:0;width:390.9pt;height:135.75pt;rotation:-45;z-index:-251655168;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" filled="f" stroked="f">
          <o:lock v:ext="edit" shapetype="t"/>
          <v:textbox style="mso-fit-shape-to-text:t">
            <w:txbxContent>
              <w:p w:rsidR="006A7011" w:rsidRDefault="006A7011">
                <w:pPr>
                  <w:pStyle w:val="Header"/>
                  <w:jc w:val="center"/>
                </w:pPr>
                <w:r>
                  <w:rPr>
                    <w:rFonts w:ascii="Arial Black" w:hAnsi="Arial Black"/>
                    <w:color w:val="DDDDDD"/>
                    <w:sz w:val="192"/>
                    <w:szCs w:val="192"/>
                  </w:rPr>
                  <w:t>DRAFT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78EB"/>
    <w:multiLevelType w:val="multilevel"/>
    <w:tmpl w:val="38B01962"/>
    <w:lvl w:ilvl="0">
      <w:start w:val="1"/>
      <w:numFmt w:val="decimal"/>
      <w:lvlText w:val="%1"/>
      <w:lvlJc w:val="left"/>
      <w:pPr>
        <w:tabs>
          <w:tab w:val="num" w:pos="340"/>
        </w:tabs>
        <w:ind w:left="340" w:hanging="340"/>
      </w:pPr>
      <w:rPr>
        <w:rFonts w:ascii="Arial" w:hAnsi="Arial" w:cs="Arial" w:hint="default"/>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
    <w:nsid w:val="15FB7AD2"/>
    <w:multiLevelType w:val="hybridMultilevel"/>
    <w:tmpl w:val="34724E5C"/>
    <w:lvl w:ilvl="0" w:tplc="3266F91E">
      <w:start w:val="1"/>
      <w:numFmt w:val="decimal"/>
      <w:lvlText w:val="%1."/>
      <w:lvlJc w:val="left"/>
      <w:pPr>
        <w:ind w:left="720" w:hanging="360"/>
      </w:pPr>
      <w:rPr>
        <w:rFonts w:hint="default"/>
      </w:rPr>
    </w:lvl>
    <w:lvl w:ilvl="1" w:tplc="9E581D46" w:tentative="1">
      <w:start w:val="1"/>
      <w:numFmt w:val="lowerLetter"/>
      <w:lvlText w:val="%2."/>
      <w:lvlJc w:val="left"/>
      <w:pPr>
        <w:ind w:left="1440" w:hanging="360"/>
      </w:pPr>
    </w:lvl>
    <w:lvl w:ilvl="2" w:tplc="8A544456" w:tentative="1">
      <w:start w:val="1"/>
      <w:numFmt w:val="lowerRoman"/>
      <w:lvlText w:val="%3."/>
      <w:lvlJc w:val="right"/>
      <w:pPr>
        <w:ind w:left="2160" w:hanging="180"/>
      </w:pPr>
    </w:lvl>
    <w:lvl w:ilvl="3" w:tplc="219601C2" w:tentative="1">
      <w:start w:val="1"/>
      <w:numFmt w:val="decimal"/>
      <w:lvlText w:val="%4."/>
      <w:lvlJc w:val="left"/>
      <w:pPr>
        <w:ind w:left="2880" w:hanging="360"/>
      </w:pPr>
    </w:lvl>
    <w:lvl w:ilvl="4" w:tplc="ED742BDC" w:tentative="1">
      <w:start w:val="1"/>
      <w:numFmt w:val="lowerLetter"/>
      <w:lvlText w:val="%5."/>
      <w:lvlJc w:val="left"/>
      <w:pPr>
        <w:ind w:left="3600" w:hanging="360"/>
      </w:pPr>
    </w:lvl>
    <w:lvl w:ilvl="5" w:tplc="1F4E67A2" w:tentative="1">
      <w:start w:val="1"/>
      <w:numFmt w:val="lowerRoman"/>
      <w:lvlText w:val="%6."/>
      <w:lvlJc w:val="right"/>
      <w:pPr>
        <w:ind w:left="4320" w:hanging="180"/>
      </w:pPr>
    </w:lvl>
    <w:lvl w:ilvl="6" w:tplc="23DE7DCC" w:tentative="1">
      <w:start w:val="1"/>
      <w:numFmt w:val="decimal"/>
      <w:lvlText w:val="%7."/>
      <w:lvlJc w:val="left"/>
      <w:pPr>
        <w:ind w:left="5040" w:hanging="360"/>
      </w:pPr>
    </w:lvl>
    <w:lvl w:ilvl="7" w:tplc="6A4AFE30" w:tentative="1">
      <w:start w:val="1"/>
      <w:numFmt w:val="lowerLetter"/>
      <w:lvlText w:val="%8."/>
      <w:lvlJc w:val="left"/>
      <w:pPr>
        <w:ind w:left="5760" w:hanging="360"/>
      </w:pPr>
    </w:lvl>
    <w:lvl w:ilvl="8" w:tplc="2E5ABF34" w:tentative="1">
      <w:start w:val="1"/>
      <w:numFmt w:val="lowerRoman"/>
      <w:lvlText w:val="%9."/>
      <w:lvlJc w:val="right"/>
      <w:pPr>
        <w:ind w:left="6480" w:hanging="180"/>
      </w:pPr>
    </w:lvl>
  </w:abstractNum>
  <w:abstractNum w:abstractNumId="2">
    <w:nsid w:val="1AC521A2"/>
    <w:multiLevelType w:val="singleLevel"/>
    <w:tmpl w:val="60A4FE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nsid w:val="28284B56"/>
    <w:multiLevelType w:val="singleLevel"/>
    <w:tmpl w:val="D878FE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nsid w:val="2AD90E3E"/>
    <w:multiLevelType w:val="singleLevel"/>
    <w:tmpl w:val="9B0E0DC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nsid w:val="38445595"/>
    <w:multiLevelType w:val="singleLevel"/>
    <w:tmpl w:val="740691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nsid w:val="40A41FEE"/>
    <w:multiLevelType w:val="singleLevel"/>
    <w:tmpl w:val="81BEDB3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nsid w:val="457E3135"/>
    <w:multiLevelType w:val="singleLevel"/>
    <w:tmpl w:val="B4EEA0F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nsid w:val="4E986418"/>
    <w:multiLevelType w:val="singleLevel"/>
    <w:tmpl w:val="FBBA95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nsid w:val="538B34BF"/>
    <w:multiLevelType w:val="hybridMultilevel"/>
    <w:tmpl w:val="A8682D14"/>
    <w:lvl w:ilvl="0" w:tplc="5F4E9C78">
      <w:start w:val="1"/>
      <w:numFmt w:val="decimal"/>
      <w:lvlText w:val="%1."/>
      <w:lvlJc w:val="left"/>
      <w:pPr>
        <w:ind w:left="720" w:hanging="360"/>
      </w:pPr>
      <w:rPr>
        <w:rFonts w:hint="default"/>
      </w:rPr>
    </w:lvl>
    <w:lvl w:ilvl="1" w:tplc="573AE616">
      <w:start w:val="1"/>
      <w:numFmt w:val="lowerLetter"/>
      <w:lvlText w:val="%2."/>
      <w:lvlJc w:val="left"/>
      <w:pPr>
        <w:ind w:left="1440" w:hanging="360"/>
      </w:pPr>
    </w:lvl>
    <w:lvl w:ilvl="2" w:tplc="85A0AE78" w:tentative="1">
      <w:start w:val="1"/>
      <w:numFmt w:val="lowerRoman"/>
      <w:lvlText w:val="%3."/>
      <w:lvlJc w:val="right"/>
      <w:pPr>
        <w:ind w:left="2160" w:hanging="180"/>
      </w:pPr>
    </w:lvl>
    <w:lvl w:ilvl="3" w:tplc="C56C576A" w:tentative="1">
      <w:start w:val="1"/>
      <w:numFmt w:val="decimal"/>
      <w:lvlText w:val="%4."/>
      <w:lvlJc w:val="left"/>
      <w:pPr>
        <w:ind w:left="2880" w:hanging="360"/>
      </w:pPr>
    </w:lvl>
    <w:lvl w:ilvl="4" w:tplc="166EF6CA" w:tentative="1">
      <w:start w:val="1"/>
      <w:numFmt w:val="lowerLetter"/>
      <w:lvlText w:val="%5."/>
      <w:lvlJc w:val="left"/>
      <w:pPr>
        <w:ind w:left="3600" w:hanging="360"/>
      </w:pPr>
    </w:lvl>
    <w:lvl w:ilvl="5" w:tplc="3BD6DA7E" w:tentative="1">
      <w:start w:val="1"/>
      <w:numFmt w:val="lowerRoman"/>
      <w:lvlText w:val="%6."/>
      <w:lvlJc w:val="right"/>
      <w:pPr>
        <w:ind w:left="4320" w:hanging="180"/>
      </w:pPr>
    </w:lvl>
    <w:lvl w:ilvl="6" w:tplc="B3D80F98" w:tentative="1">
      <w:start w:val="1"/>
      <w:numFmt w:val="decimal"/>
      <w:lvlText w:val="%7."/>
      <w:lvlJc w:val="left"/>
      <w:pPr>
        <w:ind w:left="5040" w:hanging="360"/>
      </w:pPr>
    </w:lvl>
    <w:lvl w:ilvl="7" w:tplc="81CE3BD2" w:tentative="1">
      <w:start w:val="1"/>
      <w:numFmt w:val="lowerLetter"/>
      <w:lvlText w:val="%8."/>
      <w:lvlJc w:val="left"/>
      <w:pPr>
        <w:ind w:left="5760" w:hanging="360"/>
      </w:pPr>
    </w:lvl>
    <w:lvl w:ilvl="8" w:tplc="3446C65A" w:tentative="1">
      <w:start w:val="1"/>
      <w:numFmt w:val="lowerRoman"/>
      <w:lvlText w:val="%9."/>
      <w:lvlJc w:val="right"/>
      <w:pPr>
        <w:ind w:left="6480" w:hanging="180"/>
      </w:pPr>
    </w:lvl>
  </w:abstractNum>
  <w:abstractNum w:abstractNumId="10">
    <w:nsid w:val="53E66815"/>
    <w:multiLevelType w:val="hybridMultilevel"/>
    <w:tmpl w:val="069032A6"/>
    <w:lvl w:ilvl="0" w:tplc="DEC4C2B2">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0D87E98"/>
    <w:multiLevelType w:val="multilevel"/>
    <w:tmpl w:val="89A0236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6FAD0F4B"/>
    <w:multiLevelType w:val="singleLevel"/>
    <w:tmpl w:val="3D2291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nsid w:val="7AD1677D"/>
    <w:multiLevelType w:val="singleLevel"/>
    <w:tmpl w:val="DC96F80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nsid w:val="7D6A2DCA"/>
    <w:multiLevelType w:val="multilevel"/>
    <w:tmpl w:val="C140475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9"/>
  </w:num>
  <w:num w:numId="3">
    <w:abstractNumId w:val="0"/>
  </w:num>
  <w:num w:numId="4">
    <w:abstractNumId w:val="13"/>
  </w:num>
  <w:num w:numId="5">
    <w:abstractNumId w:val="3"/>
  </w:num>
  <w:num w:numId="6">
    <w:abstractNumId w:val="1"/>
  </w:num>
  <w:num w:numId="7">
    <w:abstractNumId w:val="5"/>
  </w:num>
  <w:num w:numId="8">
    <w:abstractNumId w:val="2"/>
  </w:num>
  <w:num w:numId="9">
    <w:abstractNumId w:val="7"/>
  </w:num>
  <w:num w:numId="10">
    <w:abstractNumId w:val="12"/>
  </w:num>
  <w:num w:numId="11">
    <w:abstractNumId w:val="4"/>
  </w:num>
  <w:num w:numId="12">
    <w:abstractNumId w:val="8"/>
  </w:num>
  <w:num w:numId="13">
    <w:abstractNumId w:val="6"/>
  </w:num>
  <w:num w:numId="14">
    <w:abstractNumId w:val="14"/>
  </w:num>
  <w:num w:numId="15">
    <w:abstractNumId w:val="14"/>
  </w:num>
  <w:num w:numId="16">
    <w:abstractNumId w:val="11"/>
  </w:num>
  <w:num w:numId="17">
    <w:abstractNumId w:val="11"/>
  </w:num>
  <w:num w:numId="18">
    <w:abstractNumId w:val="11"/>
  </w:num>
  <w:num w:numId="19">
    <w:abstractNumId w:val="11"/>
  </w:num>
  <w:num w:numId="20">
    <w:abstractNumId w:val="1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docVars>
    <w:docVar w:name="DraftWatermark" w:val="1"/>
  </w:docVars>
  <w:rsids>
    <w:rsidRoot w:val="00252F29"/>
    <w:rsid w:val="00003C54"/>
    <w:rsid w:val="00005C0D"/>
    <w:rsid w:val="000D6CBA"/>
    <w:rsid w:val="001125E9"/>
    <w:rsid w:val="00133267"/>
    <w:rsid w:val="00151A2F"/>
    <w:rsid w:val="001B52EB"/>
    <w:rsid w:val="001C27F2"/>
    <w:rsid w:val="00223D6F"/>
    <w:rsid w:val="00252F29"/>
    <w:rsid w:val="002608F8"/>
    <w:rsid w:val="002876E1"/>
    <w:rsid w:val="002E1017"/>
    <w:rsid w:val="00335F28"/>
    <w:rsid w:val="00353657"/>
    <w:rsid w:val="003A72CB"/>
    <w:rsid w:val="003C6945"/>
    <w:rsid w:val="00451E46"/>
    <w:rsid w:val="00464AE1"/>
    <w:rsid w:val="004652F9"/>
    <w:rsid w:val="0047077C"/>
    <w:rsid w:val="00580F06"/>
    <w:rsid w:val="005E185C"/>
    <w:rsid w:val="005F44E2"/>
    <w:rsid w:val="00602378"/>
    <w:rsid w:val="006A7011"/>
    <w:rsid w:val="006E262B"/>
    <w:rsid w:val="006E337C"/>
    <w:rsid w:val="006F3CA3"/>
    <w:rsid w:val="008656E8"/>
    <w:rsid w:val="00883E7C"/>
    <w:rsid w:val="008A1668"/>
    <w:rsid w:val="008D237E"/>
    <w:rsid w:val="008D29DF"/>
    <w:rsid w:val="00915C70"/>
    <w:rsid w:val="009F027A"/>
    <w:rsid w:val="00A562F8"/>
    <w:rsid w:val="00A97292"/>
    <w:rsid w:val="00AC32B9"/>
    <w:rsid w:val="00AD1503"/>
    <w:rsid w:val="00B103DA"/>
    <w:rsid w:val="00B877AC"/>
    <w:rsid w:val="00B93486"/>
    <w:rsid w:val="00BA2F1E"/>
    <w:rsid w:val="00BC0B9E"/>
    <w:rsid w:val="00C112A2"/>
    <w:rsid w:val="00C419DA"/>
    <w:rsid w:val="00CB008D"/>
    <w:rsid w:val="00CC4C93"/>
    <w:rsid w:val="00CF2964"/>
    <w:rsid w:val="00D35C7E"/>
    <w:rsid w:val="00D55D4C"/>
    <w:rsid w:val="00D63FFC"/>
    <w:rsid w:val="00D71EC8"/>
    <w:rsid w:val="00DF3ACF"/>
    <w:rsid w:val="00E03746"/>
    <w:rsid w:val="00EF1A8A"/>
    <w:rsid w:val="00F2191F"/>
    <w:rsid w:val="00F64587"/>
    <w:rsid w:val="00FC2FF3"/>
    <w:rsid w:val="00FE319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7C"/>
  </w:style>
  <w:style w:type="paragraph" w:styleId="Heading1">
    <w:name w:val="heading 1"/>
    <w:basedOn w:val="Normal"/>
    <w:next w:val="Normal"/>
    <w:link w:val="Heading1Char"/>
    <w:uiPriority w:val="9"/>
    <w:qFormat/>
    <w:rsid w:val="00D55D4C"/>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5D4C"/>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5D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55D4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55D4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55D4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55D4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55D4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5D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011"/>
  </w:style>
  <w:style w:type="paragraph" w:styleId="Footer">
    <w:name w:val="footer"/>
    <w:basedOn w:val="Normal"/>
    <w:link w:val="FooterChar"/>
    <w:uiPriority w:val="99"/>
    <w:unhideWhenUsed/>
    <w:rsid w:val="006A7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011"/>
  </w:style>
  <w:style w:type="paragraph" w:customStyle="1" w:styleId="Default">
    <w:name w:val="Default"/>
    <w:rsid w:val="006A701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52EB"/>
    <w:pPr>
      <w:ind w:left="720"/>
      <w:contextualSpacing/>
    </w:pPr>
  </w:style>
  <w:style w:type="paragraph" w:styleId="ListBullet">
    <w:name w:val="List Bullet"/>
    <w:basedOn w:val="Normal"/>
    <w:uiPriority w:val="99"/>
    <w:unhideWhenUsed/>
    <w:rsid w:val="00915C70"/>
    <w:pPr>
      <w:contextualSpacing/>
    </w:pPr>
  </w:style>
  <w:style w:type="table" w:styleId="TableGrid">
    <w:name w:val="Table Grid"/>
    <w:basedOn w:val="TableNormal"/>
    <w:uiPriority w:val="39"/>
    <w:rsid w:val="003A7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5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5D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55D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55D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55D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55D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55D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55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5D4C"/>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8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6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8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Angela</dc:creator>
  <cp:lastModifiedBy>user</cp:lastModifiedBy>
  <cp:revision>2</cp:revision>
  <dcterms:created xsi:type="dcterms:W3CDTF">2019-05-23T16:53:00Z</dcterms:created>
  <dcterms:modified xsi:type="dcterms:W3CDTF">2019-05-23T16:53:00Z</dcterms:modified>
</cp:coreProperties>
</file>